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956D" w14:textId="286A2524" w:rsidR="00587B17" w:rsidRPr="00F648E2" w:rsidRDefault="00F648E2" w:rsidP="001A72FE">
      <w:pPr>
        <w:spacing w:line="240" w:lineRule="auto"/>
        <w:jc w:val="center"/>
        <w:rPr>
          <w:rFonts w:eastAsia="Times New Roman" w:cs="Times New Roman"/>
          <w:b/>
          <w:color w:val="000000"/>
          <w:sz w:val="32"/>
          <w:szCs w:val="32"/>
        </w:rPr>
      </w:pPr>
      <w:bookmarkStart w:id="0" w:name="_Hlk41475297"/>
      <w:bookmarkStart w:id="1" w:name="_Hlk46230558"/>
      <w:r w:rsidRPr="00F648E2">
        <w:rPr>
          <w:rFonts w:eastAsia="Times New Roman" w:cs="Times New Roman"/>
          <w:b/>
          <w:color w:val="000000"/>
          <w:sz w:val="32"/>
          <w:szCs w:val="32"/>
        </w:rPr>
        <w:t>COMUNICAT DE PRESĂ</w:t>
      </w:r>
    </w:p>
    <w:bookmarkEnd w:id="0"/>
    <w:bookmarkEnd w:id="1"/>
    <w:p w14:paraId="76E712C5" w14:textId="73694D10" w:rsidR="000A42C4" w:rsidRPr="00F648E2" w:rsidRDefault="00BA56D1" w:rsidP="00BA56D1">
      <w:pPr>
        <w:spacing w:line="240" w:lineRule="auto"/>
        <w:jc w:val="center"/>
        <w:rPr>
          <w:rFonts w:eastAsia="Times New Roman" w:cs="Times New Roman"/>
          <w:b/>
          <w:color w:val="000000"/>
          <w:sz w:val="22"/>
        </w:rPr>
      </w:pPr>
      <w:r w:rsidRPr="00BA56D1">
        <w:rPr>
          <w:rFonts w:eastAsia="Times New Roman" w:cs="Times New Roman"/>
          <w:b/>
          <w:color w:val="000000"/>
          <w:sz w:val="32"/>
          <w:szCs w:val="32"/>
        </w:rPr>
        <w:t>România a adoptat o lege ce interzice achiziționarea și utilizarea, de către autoritățile publice, a produselor și serviciilor software de securitate cibernetică din Federația Rusă</w:t>
      </w:r>
      <w:bookmarkStart w:id="2" w:name="_GoBack"/>
      <w:bookmarkEnd w:id="2"/>
    </w:p>
    <w:p w14:paraId="7DD1EF7D" w14:textId="496A59BE" w:rsidR="00523DC2" w:rsidRPr="00F648E2" w:rsidRDefault="00B7770B" w:rsidP="0095123D">
      <w:pPr>
        <w:spacing w:line="240" w:lineRule="auto"/>
        <w:rPr>
          <w:rFonts w:eastAsia="Times New Roman" w:cs="Times New Roman"/>
          <w:b/>
          <w:color w:val="000000"/>
          <w:sz w:val="22"/>
        </w:rPr>
      </w:pPr>
      <w:r w:rsidRPr="00F648E2">
        <w:rPr>
          <w:rFonts w:eastAsia="Times New Roman" w:cs="Times New Roman"/>
          <w:b/>
          <w:color w:val="000000"/>
          <w:sz w:val="22"/>
        </w:rPr>
        <w:t>Buc</w:t>
      </w:r>
      <w:r w:rsidR="0095123D" w:rsidRPr="00F648E2">
        <w:rPr>
          <w:rFonts w:eastAsia="Times New Roman" w:cs="Times New Roman"/>
          <w:b/>
          <w:color w:val="000000"/>
          <w:sz w:val="22"/>
        </w:rPr>
        <w:t>urești</w:t>
      </w:r>
      <w:r w:rsidRPr="00F648E2">
        <w:rPr>
          <w:rFonts w:eastAsia="Times New Roman" w:cs="Times New Roman"/>
          <w:b/>
          <w:color w:val="000000"/>
          <w:sz w:val="22"/>
        </w:rPr>
        <w:t xml:space="preserve">, </w:t>
      </w:r>
      <w:r w:rsidR="005B2279" w:rsidRPr="00F648E2">
        <w:rPr>
          <w:rFonts w:eastAsia="Times New Roman" w:cs="Times New Roman"/>
          <w:b/>
          <w:color w:val="000000"/>
          <w:sz w:val="22"/>
        </w:rPr>
        <w:t>1</w:t>
      </w:r>
      <w:r w:rsidR="003E70CB" w:rsidRPr="00F648E2">
        <w:rPr>
          <w:rFonts w:eastAsia="Times New Roman" w:cs="Times New Roman"/>
          <w:b/>
          <w:color w:val="000000"/>
          <w:sz w:val="22"/>
        </w:rPr>
        <w:t>4</w:t>
      </w:r>
      <w:r w:rsidR="000A42C4" w:rsidRPr="00F648E2">
        <w:rPr>
          <w:rFonts w:eastAsia="Times New Roman" w:cs="Times New Roman"/>
          <w:b/>
          <w:color w:val="000000"/>
          <w:sz w:val="22"/>
        </w:rPr>
        <w:t xml:space="preserve"> </w:t>
      </w:r>
      <w:r w:rsidR="003E70CB" w:rsidRPr="00F648E2">
        <w:rPr>
          <w:rFonts w:eastAsia="Times New Roman" w:cs="Times New Roman"/>
          <w:b/>
          <w:color w:val="000000"/>
          <w:sz w:val="22"/>
        </w:rPr>
        <w:t>dece</w:t>
      </w:r>
      <w:r w:rsidR="005B2279" w:rsidRPr="00F648E2">
        <w:rPr>
          <w:rFonts w:eastAsia="Times New Roman" w:cs="Times New Roman"/>
          <w:b/>
          <w:color w:val="000000"/>
          <w:sz w:val="22"/>
        </w:rPr>
        <w:t>mbrie</w:t>
      </w:r>
      <w:r w:rsidRPr="00F648E2">
        <w:rPr>
          <w:rFonts w:eastAsia="Times New Roman" w:cs="Times New Roman"/>
          <w:b/>
          <w:color w:val="000000"/>
          <w:sz w:val="22"/>
        </w:rPr>
        <w:t xml:space="preserve"> 2022</w:t>
      </w:r>
    </w:p>
    <w:p w14:paraId="0AD25918" w14:textId="07158F9E" w:rsidR="003E70CB" w:rsidRPr="00F648E2" w:rsidRDefault="003E70CB" w:rsidP="0095123D">
      <w:pPr>
        <w:spacing w:line="240" w:lineRule="auto"/>
        <w:rPr>
          <w:rFonts w:eastAsia="Times New Roman" w:cs="Times New Roman"/>
          <w:color w:val="000000"/>
          <w:sz w:val="22"/>
        </w:rPr>
      </w:pPr>
      <w:r w:rsidRPr="00F648E2">
        <w:rPr>
          <w:rFonts w:eastAsia="Times New Roman" w:cs="Times New Roman"/>
          <w:color w:val="000000"/>
          <w:sz w:val="22"/>
        </w:rPr>
        <w:t>Astăzi,</w:t>
      </w:r>
      <w:r w:rsidR="009C0ECB" w:rsidRPr="00F648E2">
        <w:rPr>
          <w:rFonts w:eastAsia="Times New Roman" w:cs="Times New Roman"/>
          <w:color w:val="000000"/>
          <w:sz w:val="22"/>
        </w:rPr>
        <w:t xml:space="preserve"> </w:t>
      </w:r>
      <w:r w:rsidR="005B2279" w:rsidRPr="00F648E2">
        <w:rPr>
          <w:rFonts w:eastAsia="Times New Roman" w:cs="Times New Roman"/>
          <w:color w:val="000000"/>
          <w:sz w:val="22"/>
        </w:rPr>
        <w:t>1</w:t>
      </w:r>
      <w:r w:rsidRPr="00F648E2">
        <w:rPr>
          <w:rFonts w:eastAsia="Times New Roman" w:cs="Times New Roman"/>
          <w:color w:val="000000"/>
          <w:sz w:val="22"/>
        </w:rPr>
        <w:t>4</w:t>
      </w:r>
      <w:r w:rsidR="005B2279" w:rsidRPr="00F648E2">
        <w:rPr>
          <w:rFonts w:eastAsia="Times New Roman" w:cs="Times New Roman"/>
          <w:color w:val="000000"/>
          <w:sz w:val="22"/>
        </w:rPr>
        <w:t xml:space="preserve"> </w:t>
      </w:r>
      <w:r w:rsidRPr="00F648E2">
        <w:rPr>
          <w:rFonts w:eastAsia="Times New Roman" w:cs="Times New Roman"/>
          <w:color w:val="000000"/>
          <w:sz w:val="22"/>
        </w:rPr>
        <w:t>decembrie</w:t>
      </w:r>
      <w:r w:rsidR="005B2279" w:rsidRPr="00F648E2">
        <w:rPr>
          <w:rFonts w:eastAsia="Times New Roman" w:cs="Times New Roman"/>
          <w:color w:val="000000"/>
          <w:sz w:val="22"/>
        </w:rPr>
        <w:t xml:space="preserve"> 2022</w:t>
      </w:r>
      <w:r w:rsidRPr="00F648E2">
        <w:rPr>
          <w:rFonts w:eastAsia="Times New Roman" w:cs="Times New Roman"/>
          <w:color w:val="000000"/>
          <w:sz w:val="22"/>
        </w:rPr>
        <w:t>, s-a publicat în Monitorul Oficial</w:t>
      </w:r>
      <w:r w:rsidR="0084269F">
        <w:rPr>
          <w:rFonts w:eastAsia="Times New Roman" w:cs="Times New Roman"/>
          <w:color w:val="000000"/>
          <w:sz w:val="22"/>
        </w:rPr>
        <w:t xml:space="preserve"> și a intrat în vigoare</w:t>
      </w:r>
      <w:r w:rsidRPr="00F648E2">
        <w:rPr>
          <w:rFonts w:eastAsia="Times New Roman" w:cs="Times New Roman"/>
          <w:color w:val="000000"/>
          <w:sz w:val="22"/>
        </w:rPr>
        <w:t xml:space="preserve"> </w:t>
      </w:r>
      <w:bookmarkStart w:id="3" w:name="_Hlk121930917"/>
      <w:r w:rsidR="008A2238" w:rsidRPr="00F648E2">
        <w:rPr>
          <w:rFonts w:eastAsia="Times New Roman" w:cs="Times New Roman"/>
          <w:color w:val="000000"/>
          <w:sz w:val="22"/>
        </w:rPr>
        <w:fldChar w:fldCharType="begin"/>
      </w:r>
      <w:r w:rsidR="008A2238" w:rsidRPr="00F648E2">
        <w:rPr>
          <w:rFonts w:eastAsia="Times New Roman" w:cs="Times New Roman"/>
          <w:color w:val="000000"/>
          <w:sz w:val="22"/>
        </w:rPr>
        <w:instrText xml:space="preserve"> HYPERLINK "https://monitoruloficial.ro/Monitorul-Oficial--PI--1200--2022.html" </w:instrText>
      </w:r>
      <w:r w:rsidR="008A2238" w:rsidRPr="00F648E2">
        <w:rPr>
          <w:rFonts w:eastAsia="Times New Roman" w:cs="Times New Roman"/>
          <w:color w:val="000000"/>
          <w:sz w:val="22"/>
        </w:rPr>
        <w:fldChar w:fldCharType="separate"/>
      </w:r>
      <w:r w:rsidRPr="00F648E2">
        <w:rPr>
          <w:rStyle w:val="Hyperlink"/>
          <w:rFonts w:eastAsia="Times New Roman" w:cs="Times New Roman"/>
          <w:sz w:val="22"/>
        </w:rPr>
        <w:t>Legea privind protecția sistemelor informatice ale autorităților și instituțiilor publice în contextul invaziei declanșate de Federația Rusă împotriva Ucrainei</w:t>
      </w:r>
      <w:r w:rsidR="008A2238" w:rsidRPr="00F648E2">
        <w:rPr>
          <w:rFonts w:eastAsia="Times New Roman" w:cs="Times New Roman"/>
          <w:color w:val="000000"/>
          <w:sz w:val="22"/>
        </w:rPr>
        <w:fldChar w:fldCharType="end"/>
      </w:r>
      <w:bookmarkEnd w:id="3"/>
      <w:r w:rsidRPr="00F648E2">
        <w:rPr>
          <w:rFonts w:eastAsia="Times New Roman" w:cs="Times New Roman"/>
          <w:color w:val="000000"/>
          <w:sz w:val="22"/>
        </w:rPr>
        <w:t xml:space="preserve">. Proiectul de lege a fost inițiat de Ministerul Cercetării, Inovării și Digitalizării </w:t>
      </w:r>
      <w:r w:rsidR="00F648E2">
        <w:rPr>
          <w:rFonts w:eastAsia="Times New Roman" w:cs="Times New Roman"/>
          <w:color w:val="000000"/>
          <w:sz w:val="22"/>
        </w:rPr>
        <w:t xml:space="preserve">(MCID) </w:t>
      </w:r>
      <w:r w:rsidRPr="00F648E2">
        <w:rPr>
          <w:rFonts w:eastAsia="Times New Roman" w:cs="Times New Roman"/>
          <w:color w:val="000000"/>
          <w:sz w:val="22"/>
        </w:rPr>
        <w:t>și a fost votat de către Parlament la data de 23.11.2022</w:t>
      </w:r>
      <w:r w:rsidR="008A2238" w:rsidRPr="00F648E2">
        <w:rPr>
          <w:rFonts w:eastAsia="Times New Roman" w:cs="Times New Roman"/>
          <w:color w:val="000000"/>
          <w:sz w:val="22"/>
        </w:rPr>
        <w:t>.</w:t>
      </w:r>
    </w:p>
    <w:p w14:paraId="65657559" w14:textId="341FE436" w:rsidR="00382DC4" w:rsidRPr="00F648E2" w:rsidRDefault="003E70CB" w:rsidP="00A465FE">
      <w:pPr>
        <w:spacing w:line="240" w:lineRule="auto"/>
        <w:rPr>
          <w:rFonts w:eastAsia="Times New Roman" w:cs="Times New Roman"/>
          <w:color w:val="000000"/>
          <w:sz w:val="22"/>
        </w:rPr>
      </w:pPr>
      <w:r w:rsidRPr="00F648E2">
        <w:rPr>
          <w:rFonts w:eastAsia="Times New Roman" w:cs="Times New Roman"/>
          <w:color w:val="000000"/>
          <w:sz w:val="22"/>
        </w:rPr>
        <w:t xml:space="preserve">Legea stabilește cadrul juridic și instituțional </w:t>
      </w:r>
      <w:r w:rsidR="00A465FE" w:rsidRPr="00F648E2">
        <w:rPr>
          <w:rFonts w:eastAsia="Times New Roman" w:cs="Times New Roman"/>
          <w:color w:val="000000"/>
          <w:sz w:val="22"/>
        </w:rPr>
        <w:t>pentru</w:t>
      </w:r>
      <w:r w:rsidRPr="00F648E2">
        <w:rPr>
          <w:rFonts w:eastAsia="Times New Roman" w:cs="Times New Roman"/>
          <w:color w:val="000000"/>
          <w:sz w:val="22"/>
        </w:rPr>
        <w:t xml:space="preserve"> interzicer</w:t>
      </w:r>
      <w:r w:rsidR="00A465FE" w:rsidRPr="00F648E2">
        <w:rPr>
          <w:rFonts w:eastAsia="Times New Roman" w:cs="Times New Roman"/>
          <w:color w:val="000000"/>
          <w:sz w:val="22"/>
        </w:rPr>
        <w:t xml:space="preserve">ea </w:t>
      </w:r>
      <w:r w:rsidRPr="00F648E2">
        <w:rPr>
          <w:rFonts w:eastAsia="Times New Roman" w:cs="Times New Roman"/>
          <w:color w:val="000000"/>
          <w:sz w:val="22"/>
        </w:rPr>
        <w:t>achiziționării și utilizării de către autoritățile și instituțiile publice</w:t>
      </w:r>
      <w:r w:rsidR="00A465FE" w:rsidRPr="00F648E2">
        <w:rPr>
          <w:rFonts w:eastAsia="Times New Roman" w:cs="Times New Roman"/>
          <w:color w:val="000000"/>
          <w:sz w:val="22"/>
        </w:rPr>
        <w:t xml:space="preserve"> a</w:t>
      </w:r>
      <w:r w:rsidRPr="00F648E2">
        <w:rPr>
          <w:rFonts w:eastAsia="Times New Roman" w:cs="Times New Roman"/>
          <w:color w:val="000000"/>
          <w:sz w:val="22"/>
        </w:rPr>
        <w:t xml:space="preserve"> produselor și serviciilor </w:t>
      </w:r>
      <w:r w:rsidR="00F648E2" w:rsidRPr="00F648E2">
        <w:rPr>
          <w:rFonts w:eastAsia="Times New Roman" w:cs="Times New Roman"/>
          <w:color w:val="000000"/>
          <w:sz w:val="22"/>
        </w:rPr>
        <w:t xml:space="preserve">software de securitate cibernetică și </w:t>
      </w:r>
      <w:r w:rsidR="00F648E2">
        <w:rPr>
          <w:rFonts w:eastAsia="Times New Roman" w:cs="Times New Roman"/>
          <w:color w:val="000000"/>
          <w:sz w:val="22"/>
        </w:rPr>
        <w:t xml:space="preserve">securitate </w:t>
      </w:r>
      <w:r w:rsidR="00F648E2" w:rsidRPr="00F648E2">
        <w:rPr>
          <w:rFonts w:eastAsia="Times New Roman" w:cs="Times New Roman"/>
          <w:color w:val="000000"/>
          <w:sz w:val="22"/>
        </w:rPr>
        <w:t xml:space="preserve">a sistemelor informatice </w:t>
      </w:r>
      <w:r w:rsidRPr="00F648E2">
        <w:rPr>
          <w:rFonts w:eastAsia="Times New Roman" w:cs="Times New Roman"/>
          <w:color w:val="000000"/>
          <w:sz w:val="22"/>
        </w:rPr>
        <w:t>provenind direct sau indirect</w:t>
      </w:r>
      <w:r w:rsidR="00A465FE" w:rsidRPr="00F648E2">
        <w:rPr>
          <w:rFonts w:eastAsia="Times New Roman" w:cs="Times New Roman"/>
          <w:color w:val="000000"/>
          <w:sz w:val="22"/>
        </w:rPr>
        <w:t>:</w:t>
      </w:r>
    </w:p>
    <w:p w14:paraId="2E50AFE0" w14:textId="6BA33773" w:rsidR="00A465FE" w:rsidRPr="00F648E2" w:rsidRDefault="00A465FE" w:rsidP="00F648E2">
      <w:pPr>
        <w:pStyle w:val="ListParagraph"/>
        <w:numPr>
          <w:ilvl w:val="0"/>
          <w:numId w:val="47"/>
        </w:numPr>
        <w:spacing w:line="240" w:lineRule="auto"/>
        <w:ind w:left="714" w:hanging="357"/>
        <w:contextualSpacing w:val="0"/>
        <w:rPr>
          <w:rFonts w:eastAsia="Times New Roman" w:cs="Times New Roman"/>
          <w:color w:val="000000"/>
          <w:sz w:val="22"/>
        </w:rPr>
      </w:pPr>
      <w:r w:rsidRPr="00F648E2">
        <w:rPr>
          <w:rFonts w:eastAsia="Times New Roman" w:cs="Times New Roman"/>
          <w:color w:val="000000"/>
          <w:sz w:val="22"/>
        </w:rPr>
        <w:t xml:space="preserve">din Federația Rusă </w:t>
      </w:r>
    </w:p>
    <w:p w14:paraId="3A77316C" w14:textId="5F8A97A9" w:rsidR="00A465FE" w:rsidRPr="00F648E2" w:rsidRDefault="00A465FE" w:rsidP="00F648E2">
      <w:pPr>
        <w:pStyle w:val="ListParagraph"/>
        <w:numPr>
          <w:ilvl w:val="0"/>
          <w:numId w:val="47"/>
        </w:numPr>
        <w:spacing w:line="240" w:lineRule="auto"/>
        <w:ind w:left="714" w:hanging="357"/>
        <w:contextualSpacing w:val="0"/>
        <w:rPr>
          <w:rFonts w:eastAsia="Times New Roman" w:cs="Times New Roman"/>
          <w:color w:val="000000"/>
          <w:sz w:val="22"/>
        </w:rPr>
      </w:pPr>
      <w:r w:rsidRPr="00F648E2">
        <w:rPr>
          <w:rFonts w:eastAsia="Times New Roman" w:cs="Times New Roman"/>
          <w:color w:val="000000"/>
          <w:sz w:val="22"/>
        </w:rPr>
        <w:t>de la un operator economic aflat sub controlul direct sau indirect al unei persoane fizice sau juridice din Federația Rusă</w:t>
      </w:r>
    </w:p>
    <w:p w14:paraId="62E92561" w14:textId="4EE93218" w:rsidR="00A465FE" w:rsidRPr="00F648E2" w:rsidRDefault="00A465FE" w:rsidP="00F648E2">
      <w:pPr>
        <w:pStyle w:val="ListParagraph"/>
        <w:numPr>
          <w:ilvl w:val="0"/>
          <w:numId w:val="47"/>
        </w:numPr>
        <w:spacing w:line="240" w:lineRule="auto"/>
        <w:ind w:left="714" w:hanging="357"/>
        <w:contextualSpacing w:val="0"/>
        <w:rPr>
          <w:rFonts w:eastAsia="Times New Roman" w:cs="Times New Roman"/>
          <w:color w:val="000000"/>
          <w:sz w:val="22"/>
        </w:rPr>
      </w:pPr>
      <w:r w:rsidRPr="00F648E2">
        <w:rPr>
          <w:rFonts w:eastAsia="Times New Roman" w:cs="Times New Roman"/>
          <w:color w:val="000000"/>
          <w:sz w:val="22"/>
        </w:rPr>
        <w:t>de la un operator economic al cărui capital este constituit cu participație provenind în mod direct sau prin firme interpuse din Federația Rusă ori din ale cărui organe de administrare fac parte persoane din Federația Rusă</w:t>
      </w:r>
    </w:p>
    <w:p w14:paraId="6703BDBF" w14:textId="6C193F9A" w:rsidR="00885B29" w:rsidRPr="00F648E2" w:rsidRDefault="00A465FE" w:rsidP="008A2238">
      <w:pPr>
        <w:spacing w:line="240" w:lineRule="auto"/>
        <w:rPr>
          <w:rFonts w:eastAsia="Times New Roman" w:cs="Times New Roman"/>
          <w:color w:val="000000"/>
          <w:sz w:val="22"/>
        </w:rPr>
      </w:pPr>
      <w:r w:rsidRPr="00F648E2">
        <w:rPr>
          <w:rFonts w:eastAsia="Times New Roman" w:cs="Times New Roman"/>
          <w:color w:val="000000"/>
          <w:sz w:val="22"/>
        </w:rPr>
        <w:t>Lege</w:t>
      </w:r>
      <w:r w:rsidR="008A2238" w:rsidRPr="00F648E2">
        <w:rPr>
          <w:rFonts w:eastAsia="Times New Roman" w:cs="Times New Roman"/>
          <w:color w:val="000000"/>
          <w:sz w:val="22"/>
        </w:rPr>
        <w:t>a</w:t>
      </w:r>
      <w:r w:rsidRPr="00F648E2">
        <w:rPr>
          <w:rFonts w:eastAsia="Times New Roman" w:cs="Times New Roman"/>
          <w:color w:val="000000"/>
          <w:sz w:val="22"/>
        </w:rPr>
        <w:t xml:space="preserve"> face referire la toate rețelele și sistemele informatice care gestionează informații clasificate, deținute de persoane juridice de drept public și privat aflate pe teritoriul României, cu excepția celor deținute de autoritățile și instituțiile</w:t>
      </w:r>
      <w:r w:rsidR="008A2238" w:rsidRPr="00F648E2">
        <w:rPr>
          <w:rFonts w:eastAsia="Times New Roman" w:cs="Times New Roman"/>
          <w:color w:val="000000"/>
          <w:sz w:val="22"/>
        </w:rPr>
        <w:t xml:space="preserve"> </w:t>
      </w:r>
      <w:r w:rsidRPr="00F648E2">
        <w:rPr>
          <w:rFonts w:eastAsia="Times New Roman" w:cs="Times New Roman"/>
          <w:color w:val="000000"/>
          <w:sz w:val="22"/>
        </w:rPr>
        <w:t xml:space="preserve">publice </w:t>
      </w:r>
      <w:r w:rsidR="008A2238" w:rsidRPr="00F648E2">
        <w:rPr>
          <w:rFonts w:eastAsia="Times New Roman" w:cs="Times New Roman"/>
          <w:color w:val="000000"/>
          <w:sz w:val="22"/>
        </w:rPr>
        <w:t>cu atribuții proprii în domeniul securității naționale, în domeniul securității cibernetice, apărării naționale și ordinii publice.</w:t>
      </w:r>
    </w:p>
    <w:p w14:paraId="70C0320C" w14:textId="0A451709" w:rsidR="00A740AE" w:rsidRPr="00F648E2" w:rsidRDefault="00A740AE" w:rsidP="008A2238">
      <w:pPr>
        <w:spacing w:line="240" w:lineRule="auto"/>
        <w:rPr>
          <w:rFonts w:eastAsia="Times New Roman" w:cs="Times New Roman"/>
          <w:color w:val="000000"/>
          <w:sz w:val="22"/>
        </w:rPr>
      </w:pPr>
      <w:r w:rsidRPr="00F648E2">
        <w:rPr>
          <w:rFonts w:eastAsia="Times New Roman" w:cs="Times New Roman"/>
          <w:color w:val="000000"/>
          <w:sz w:val="22"/>
        </w:rPr>
        <w:t xml:space="preserve">Securitatea produselor hardware și software și nivelul de încredere în acestea sunt vitale pentru asigurarea rezilienței rețelelor și sistemelor informatice la nivel național. </w:t>
      </w:r>
      <w:r w:rsidR="008A2238" w:rsidRPr="00F648E2">
        <w:rPr>
          <w:rFonts w:eastAsia="Times New Roman" w:cs="Times New Roman"/>
          <w:color w:val="000000"/>
          <w:sz w:val="22"/>
        </w:rPr>
        <w:t>În contextul războiului declanșat de Rusia în Ucraina și a</w:t>
      </w:r>
      <w:r w:rsidRPr="00F648E2">
        <w:rPr>
          <w:rFonts w:eastAsia="Times New Roman" w:cs="Times New Roman"/>
          <w:color w:val="000000"/>
          <w:sz w:val="22"/>
        </w:rPr>
        <w:t>l</w:t>
      </w:r>
      <w:r w:rsidR="008A2238" w:rsidRPr="00F648E2">
        <w:rPr>
          <w:rFonts w:eastAsia="Times New Roman" w:cs="Times New Roman"/>
          <w:color w:val="000000"/>
          <w:sz w:val="22"/>
        </w:rPr>
        <w:t xml:space="preserve"> atacurilor cibernetice </w:t>
      </w:r>
      <w:r w:rsidRPr="00F648E2">
        <w:rPr>
          <w:rFonts w:eastAsia="Times New Roman" w:cs="Times New Roman"/>
          <w:color w:val="000000"/>
          <w:sz w:val="22"/>
        </w:rPr>
        <w:t>adiacente acestui conflict</w:t>
      </w:r>
      <w:r w:rsidR="008A2238" w:rsidRPr="00F648E2">
        <w:rPr>
          <w:rFonts w:eastAsia="Times New Roman" w:cs="Times New Roman"/>
          <w:color w:val="000000"/>
          <w:sz w:val="22"/>
        </w:rPr>
        <w:t>,</w:t>
      </w:r>
      <w:r w:rsidRPr="00F648E2">
        <w:rPr>
          <w:rFonts w:eastAsia="Times New Roman" w:cs="Times New Roman"/>
          <w:color w:val="000000"/>
          <w:sz w:val="22"/>
        </w:rPr>
        <w:t xml:space="preserve"> atacuri care au avut ca țintă și au afectat inclusiv instituții, organizații sau utilizatori din România, este necesară</w:t>
      </w:r>
      <w:r w:rsidR="00050C57">
        <w:rPr>
          <w:rFonts w:eastAsia="Times New Roman" w:cs="Times New Roman"/>
          <w:color w:val="000000"/>
          <w:sz w:val="22"/>
        </w:rPr>
        <w:t xml:space="preserve"> asigurarea securității l</w:t>
      </w:r>
      <w:r w:rsidRPr="00F648E2">
        <w:rPr>
          <w:rFonts w:eastAsia="Times New Roman" w:cs="Times New Roman"/>
          <w:color w:val="000000"/>
          <w:sz w:val="22"/>
        </w:rPr>
        <w:t xml:space="preserve">anțului de </w:t>
      </w:r>
      <w:r w:rsidR="00050C57">
        <w:rPr>
          <w:rFonts w:eastAsia="Times New Roman" w:cs="Times New Roman"/>
          <w:color w:val="000000"/>
          <w:sz w:val="22"/>
        </w:rPr>
        <w:t>furnizori</w:t>
      </w:r>
      <w:r w:rsidRPr="00F648E2">
        <w:rPr>
          <w:rFonts w:eastAsia="Times New Roman" w:cs="Times New Roman"/>
          <w:color w:val="000000"/>
          <w:sz w:val="22"/>
        </w:rPr>
        <w:t xml:space="preserve"> prin stabilirea unor criterii de încredere pentru furnizorii de echipamente și servicii.</w:t>
      </w:r>
    </w:p>
    <w:p w14:paraId="331D52A6" w14:textId="5EFF17A6" w:rsidR="00F5176F" w:rsidRPr="00F648E2" w:rsidRDefault="00A740AE" w:rsidP="00C54901">
      <w:pPr>
        <w:spacing w:line="240" w:lineRule="auto"/>
        <w:rPr>
          <w:rFonts w:eastAsia="Times New Roman" w:cs="Times New Roman"/>
          <w:color w:val="000000"/>
          <w:sz w:val="22"/>
        </w:rPr>
      </w:pPr>
      <w:r w:rsidRPr="00F648E2">
        <w:rPr>
          <w:rFonts w:eastAsia="Times New Roman" w:cs="Times New Roman"/>
          <w:color w:val="000000"/>
          <w:sz w:val="22"/>
        </w:rPr>
        <w:t>Directoratul Național de Securitate Cibernetică (DNSC)</w:t>
      </w:r>
      <w:r w:rsidR="00C54901" w:rsidRPr="00F648E2">
        <w:rPr>
          <w:rFonts w:eastAsia="Times New Roman" w:cs="Times New Roman"/>
          <w:color w:val="000000"/>
          <w:sz w:val="22"/>
        </w:rPr>
        <w:t>, alături de</w:t>
      </w:r>
      <w:r w:rsidR="00C54901" w:rsidRPr="00F648E2">
        <w:t xml:space="preserve"> </w:t>
      </w:r>
      <w:r w:rsidR="00C54901" w:rsidRPr="00F648E2">
        <w:rPr>
          <w:rFonts w:eastAsia="Times New Roman" w:cs="Times New Roman"/>
          <w:color w:val="000000"/>
          <w:sz w:val="22"/>
        </w:rPr>
        <w:t>Autoritatea pentru Digitalizarea României</w:t>
      </w:r>
      <w:r w:rsidR="0084269F">
        <w:rPr>
          <w:rFonts w:eastAsia="Times New Roman" w:cs="Times New Roman"/>
          <w:color w:val="000000"/>
          <w:sz w:val="22"/>
        </w:rPr>
        <w:t xml:space="preserve"> (ADR)</w:t>
      </w:r>
      <w:r w:rsidR="00C54901" w:rsidRPr="00F648E2">
        <w:rPr>
          <w:rFonts w:eastAsia="Times New Roman" w:cs="Times New Roman"/>
          <w:color w:val="000000"/>
          <w:sz w:val="22"/>
        </w:rPr>
        <w:t>, Serviciul Român de Informații</w:t>
      </w:r>
      <w:r w:rsidR="0084269F">
        <w:rPr>
          <w:rFonts w:eastAsia="Times New Roman" w:cs="Times New Roman"/>
          <w:color w:val="000000"/>
          <w:sz w:val="22"/>
        </w:rPr>
        <w:t xml:space="preserve"> (SRI)</w:t>
      </w:r>
      <w:r w:rsidR="00C54901" w:rsidRPr="00F648E2">
        <w:rPr>
          <w:rFonts w:eastAsia="Times New Roman" w:cs="Times New Roman"/>
          <w:color w:val="000000"/>
          <w:sz w:val="22"/>
        </w:rPr>
        <w:t>, Ministerul Apărării Naționale</w:t>
      </w:r>
      <w:r w:rsidR="0084269F">
        <w:rPr>
          <w:rFonts w:eastAsia="Times New Roman" w:cs="Times New Roman"/>
          <w:color w:val="000000"/>
          <w:sz w:val="22"/>
        </w:rPr>
        <w:t xml:space="preserve"> (MApN)</w:t>
      </w:r>
      <w:r w:rsidR="00C54901" w:rsidRPr="00F648E2">
        <w:rPr>
          <w:rFonts w:eastAsia="Times New Roman" w:cs="Times New Roman"/>
          <w:color w:val="000000"/>
          <w:sz w:val="22"/>
        </w:rPr>
        <w:t>, Ministerul Afacerilor Interne</w:t>
      </w:r>
      <w:r w:rsidR="0084269F">
        <w:rPr>
          <w:rFonts w:eastAsia="Times New Roman" w:cs="Times New Roman"/>
          <w:color w:val="000000"/>
          <w:sz w:val="22"/>
        </w:rPr>
        <w:t xml:space="preserve"> (MAI)</w:t>
      </w:r>
      <w:r w:rsidR="00C54901" w:rsidRPr="00F648E2">
        <w:rPr>
          <w:rFonts w:eastAsia="Times New Roman" w:cs="Times New Roman"/>
          <w:color w:val="000000"/>
          <w:sz w:val="22"/>
        </w:rPr>
        <w:t>, Serviciul de Telecomunicații Speciale</w:t>
      </w:r>
      <w:r w:rsidR="0084269F">
        <w:rPr>
          <w:rFonts w:eastAsia="Times New Roman" w:cs="Times New Roman"/>
          <w:color w:val="000000"/>
          <w:sz w:val="22"/>
        </w:rPr>
        <w:t xml:space="preserve"> (STS)</w:t>
      </w:r>
      <w:r w:rsidR="00C54901" w:rsidRPr="00F648E2">
        <w:rPr>
          <w:rFonts w:eastAsia="Times New Roman" w:cs="Times New Roman"/>
          <w:color w:val="000000"/>
          <w:sz w:val="22"/>
        </w:rPr>
        <w:t xml:space="preserve">, Serviciul de Protecție și Pază </w:t>
      </w:r>
      <w:r w:rsidR="0084269F">
        <w:rPr>
          <w:rFonts w:eastAsia="Times New Roman" w:cs="Times New Roman"/>
          <w:color w:val="000000"/>
          <w:sz w:val="22"/>
        </w:rPr>
        <w:t xml:space="preserve">(SPP) </w:t>
      </w:r>
      <w:r w:rsidR="00C54901" w:rsidRPr="00F648E2">
        <w:rPr>
          <w:rFonts w:eastAsia="Times New Roman" w:cs="Times New Roman"/>
          <w:color w:val="000000"/>
          <w:sz w:val="22"/>
        </w:rPr>
        <w:t xml:space="preserve">și de Oficiul Registrului Național al Informațiilor Secrete de Stat </w:t>
      </w:r>
      <w:r w:rsidR="0084269F">
        <w:rPr>
          <w:rFonts w:eastAsia="Times New Roman" w:cs="Times New Roman"/>
          <w:color w:val="000000"/>
          <w:sz w:val="22"/>
        </w:rPr>
        <w:t xml:space="preserve">(ORNISS), </w:t>
      </w:r>
      <w:r w:rsidR="00C54901" w:rsidRPr="00F648E2">
        <w:rPr>
          <w:rFonts w:eastAsia="Times New Roman" w:cs="Times New Roman"/>
          <w:color w:val="000000"/>
          <w:sz w:val="22"/>
        </w:rPr>
        <w:t xml:space="preserve">are un rol activ în identificarea produselor și serviciilor care fac obiectul acestei legi. </w:t>
      </w:r>
    </w:p>
    <w:p w14:paraId="60A87BDE" w14:textId="065A5099" w:rsidR="008D2D35" w:rsidRPr="00F648E2" w:rsidRDefault="008D2D35" w:rsidP="00C54901">
      <w:pPr>
        <w:spacing w:line="240" w:lineRule="auto"/>
        <w:rPr>
          <w:rFonts w:eastAsia="Times New Roman" w:cs="Times New Roman"/>
          <w:color w:val="000000"/>
          <w:sz w:val="22"/>
        </w:rPr>
      </w:pPr>
      <w:r w:rsidRPr="00F648E2">
        <w:rPr>
          <w:rFonts w:eastAsia="Times New Roman" w:cs="Times New Roman"/>
          <w:color w:val="000000"/>
          <w:sz w:val="22"/>
        </w:rPr>
        <w:t>L</w:t>
      </w:r>
      <w:r w:rsidR="00063EBC" w:rsidRPr="00F648E2">
        <w:rPr>
          <w:rFonts w:eastAsia="Times New Roman" w:cs="Times New Roman"/>
          <w:color w:val="000000"/>
          <w:sz w:val="22"/>
        </w:rPr>
        <w:t xml:space="preserve">egea are impact direct doar asupra unor categorii de organizații, </w:t>
      </w:r>
      <w:r w:rsidRPr="00F648E2">
        <w:rPr>
          <w:rFonts w:eastAsia="Times New Roman" w:cs="Times New Roman"/>
          <w:color w:val="000000"/>
          <w:sz w:val="22"/>
        </w:rPr>
        <w:t xml:space="preserve">dar </w:t>
      </w:r>
      <w:r w:rsidR="00C54901" w:rsidRPr="00F648E2">
        <w:rPr>
          <w:rFonts w:eastAsia="Times New Roman" w:cs="Times New Roman"/>
          <w:color w:val="000000"/>
          <w:sz w:val="22"/>
        </w:rPr>
        <w:t>Directoratul</w:t>
      </w:r>
      <w:r w:rsidRPr="00F648E2">
        <w:rPr>
          <w:rFonts w:eastAsia="Times New Roman" w:cs="Times New Roman"/>
          <w:color w:val="000000"/>
          <w:sz w:val="22"/>
        </w:rPr>
        <w:t xml:space="preserve"> </w:t>
      </w:r>
      <w:r w:rsidR="00063EBC" w:rsidRPr="00F648E2">
        <w:rPr>
          <w:rFonts w:eastAsia="Times New Roman" w:cs="Times New Roman"/>
          <w:color w:val="000000"/>
          <w:sz w:val="22"/>
        </w:rPr>
        <w:t xml:space="preserve">recomandă ca toți utilizatorii </w:t>
      </w:r>
      <w:r w:rsidR="0039604F">
        <w:rPr>
          <w:rFonts w:eastAsia="Times New Roman" w:cs="Times New Roman"/>
          <w:color w:val="000000"/>
          <w:sz w:val="22"/>
        </w:rPr>
        <w:t xml:space="preserve">și factorii de decizie </w:t>
      </w:r>
      <w:r w:rsidR="00063EBC" w:rsidRPr="00F648E2">
        <w:rPr>
          <w:rFonts w:eastAsia="Times New Roman" w:cs="Times New Roman"/>
          <w:color w:val="000000"/>
          <w:sz w:val="22"/>
        </w:rPr>
        <w:t xml:space="preserve">din România să analizeze cu atenție soluțiile de securitate pe care le folosesc, în contextul conflictului hibrid dintre Rusia și Ucraina. </w:t>
      </w:r>
    </w:p>
    <w:p w14:paraId="0CEDC290" w14:textId="374F6123" w:rsidR="00B21E9F" w:rsidRPr="00F648E2" w:rsidRDefault="00454D2B" w:rsidP="00C54901">
      <w:pPr>
        <w:spacing w:line="240" w:lineRule="auto"/>
        <w:rPr>
          <w:rFonts w:eastAsia="Times New Roman" w:cs="Times New Roman"/>
          <w:color w:val="FF0000"/>
          <w:sz w:val="22"/>
        </w:rPr>
      </w:pPr>
      <w:r w:rsidRPr="00F648E2">
        <w:rPr>
          <w:rFonts w:eastAsia="Times New Roman" w:cs="Times New Roman"/>
          <w:color w:val="000000"/>
          <w:sz w:val="22"/>
        </w:rPr>
        <w:t xml:space="preserve">Așa cum v-a obișnuit, </w:t>
      </w:r>
      <w:r w:rsidR="009F1E94" w:rsidRPr="00F648E2">
        <w:rPr>
          <w:rFonts w:eastAsia="Times New Roman" w:cs="Times New Roman"/>
          <w:color w:val="000000"/>
          <w:sz w:val="22"/>
        </w:rPr>
        <w:t>echipa Directoratului oferă asistență entităților sau utilizatorilor care au nevoie de suport în acest caz</w:t>
      </w:r>
      <w:r w:rsidR="000B7723" w:rsidRPr="00F648E2">
        <w:rPr>
          <w:rFonts w:eastAsia="Times New Roman" w:cs="Times New Roman"/>
          <w:color w:val="000000"/>
          <w:sz w:val="22"/>
        </w:rPr>
        <w:t>. N</w:t>
      </w:r>
      <w:r w:rsidR="009F1E94" w:rsidRPr="00F648E2">
        <w:rPr>
          <w:rFonts w:eastAsia="Times New Roman" w:cs="Times New Roman"/>
          <w:color w:val="000000"/>
          <w:sz w:val="22"/>
        </w:rPr>
        <w:t xml:space="preserve">e puteți contacta la numărul național de urgență </w:t>
      </w:r>
      <w:r w:rsidR="009F1E94" w:rsidRPr="00F648E2">
        <w:rPr>
          <w:rFonts w:eastAsia="Times New Roman" w:cs="Times New Roman"/>
          <w:sz w:val="22"/>
        </w:rPr>
        <w:t>1911</w:t>
      </w:r>
      <w:r w:rsidR="009F1E94" w:rsidRPr="00F648E2">
        <w:rPr>
          <w:rFonts w:eastAsia="Times New Roman" w:cs="Times New Roman"/>
          <w:color w:val="000000"/>
          <w:sz w:val="22"/>
        </w:rPr>
        <w:t xml:space="preserve"> sau pe email la </w:t>
      </w:r>
      <w:hyperlink r:id="rId11" w:history="1">
        <w:r w:rsidR="00EB157C" w:rsidRPr="00F648E2">
          <w:rPr>
            <w:rStyle w:val="Hyperlink"/>
            <w:rFonts w:eastAsia="Times New Roman" w:cs="Times New Roman"/>
            <w:sz w:val="22"/>
          </w:rPr>
          <w:t>office@dnsc.ro</w:t>
        </w:r>
      </w:hyperlink>
      <w:r w:rsidR="00EB157C" w:rsidRPr="00F648E2">
        <w:rPr>
          <w:rFonts w:eastAsia="Times New Roman" w:cs="Times New Roman"/>
          <w:sz w:val="22"/>
        </w:rPr>
        <w:t>.</w:t>
      </w:r>
      <w:r w:rsidRPr="00F648E2">
        <w:rPr>
          <w:rFonts w:eastAsia="Times New Roman" w:cs="Times New Roman"/>
          <w:color w:val="000000"/>
          <w:sz w:val="22"/>
        </w:rPr>
        <w:t xml:space="preserve"> </w:t>
      </w:r>
    </w:p>
    <w:p w14:paraId="2FD4E730" w14:textId="77777777" w:rsidR="00A645D2" w:rsidRPr="00F648E2" w:rsidRDefault="00A645D2" w:rsidP="00C54901">
      <w:pPr>
        <w:spacing w:line="240" w:lineRule="auto"/>
        <w:rPr>
          <w:rFonts w:eastAsia="Times New Roman" w:cs="Times New Roman"/>
          <w:color w:val="000000"/>
          <w:sz w:val="22"/>
        </w:rPr>
      </w:pPr>
    </w:p>
    <w:p w14:paraId="1246313D" w14:textId="038064F0" w:rsidR="00EC0CCA" w:rsidRPr="00F648E2" w:rsidRDefault="00E74E71" w:rsidP="0095123D">
      <w:pPr>
        <w:spacing w:line="240" w:lineRule="auto"/>
        <w:rPr>
          <w:b/>
          <w:szCs w:val="24"/>
        </w:rPr>
      </w:pPr>
      <w:r w:rsidRPr="00F648E2">
        <w:rPr>
          <w:rFonts w:eastAsia="Times New Roman" w:cs="Times New Roman"/>
          <w:b/>
          <w:color w:val="000000"/>
          <w:szCs w:val="24"/>
        </w:rPr>
        <w:t>C</w:t>
      </w:r>
      <w:r w:rsidR="00B7770B" w:rsidRPr="00F648E2">
        <w:rPr>
          <w:rFonts w:eastAsia="Times New Roman" w:cs="Times New Roman"/>
          <w:b/>
          <w:color w:val="000000"/>
          <w:szCs w:val="24"/>
        </w:rPr>
        <w:t>ontact pe</w:t>
      </w:r>
      <w:r w:rsidRPr="00F648E2">
        <w:rPr>
          <w:rFonts w:eastAsia="Times New Roman" w:cs="Times New Roman"/>
          <w:b/>
          <w:color w:val="000000"/>
          <w:szCs w:val="24"/>
        </w:rPr>
        <w:t>ntru presă</w:t>
      </w:r>
      <w:r w:rsidR="00B7770B" w:rsidRPr="00F648E2">
        <w:rPr>
          <w:rFonts w:eastAsia="Times New Roman" w:cs="Times New Roman"/>
          <w:b/>
          <w:color w:val="000000"/>
          <w:szCs w:val="24"/>
        </w:rPr>
        <w:t>: Mihai Rotariu</w:t>
      </w:r>
      <w:r w:rsidR="00523DC2" w:rsidRPr="00F648E2">
        <w:rPr>
          <w:rFonts w:eastAsia="Times New Roman" w:cs="Times New Roman"/>
          <w:b/>
          <w:color w:val="000000"/>
          <w:szCs w:val="24"/>
        </w:rPr>
        <w:t xml:space="preserve"> </w:t>
      </w:r>
      <w:r w:rsidR="00B7770B" w:rsidRPr="00F648E2">
        <w:rPr>
          <w:rFonts w:eastAsia="Times New Roman" w:cs="Times New Roman"/>
          <w:b/>
          <w:color w:val="000000"/>
          <w:szCs w:val="24"/>
        </w:rPr>
        <w:t xml:space="preserve"> |</w:t>
      </w:r>
      <w:r w:rsidR="00523DC2" w:rsidRPr="00F648E2">
        <w:rPr>
          <w:rFonts w:eastAsia="Times New Roman" w:cs="Times New Roman"/>
          <w:b/>
          <w:color w:val="000000"/>
          <w:szCs w:val="24"/>
        </w:rPr>
        <w:t xml:space="preserve"> </w:t>
      </w:r>
      <w:r w:rsidR="00B7770B" w:rsidRPr="00F648E2">
        <w:rPr>
          <w:rFonts w:eastAsia="Times New Roman" w:cs="Times New Roman"/>
          <w:b/>
          <w:color w:val="000000"/>
          <w:szCs w:val="24"/>
        </w:rPr>
        <w:t xml:space="preserve"> </w:t>
      </w:r>
      <w:hyperlink r:id="rId12" w:history="1">
        <w:r w:rsidR="00B7770B" w:rsidRPr="00F648E2">
          <w:rPr>
            <w:rStyle w:val="Hyperlink"/>
            <w:rFonts w:eastAsia="Times New Roman" w:cs="Times New Roman"/>
            <w:b/>
            <w:szCs w:val="24"/>
          </w:rPr>
          <w:t>mihai.rotariu@dnsc.ro</w:t>
        </w:r>
      </w:hyperlink>
      <w:r w:rsidR="00B7770B" w:rsidRPr="00F648E2">
        <w:rPr>
          <w:rFonts w:eastAsia="Times New Roman" w:cs="Times New Roman"/>
          <w:b/>
          <w:color w:val="000000"/>
          <w:szCs w:val="24"/>
        </w:rPr>
        <w:t xml:space="preserve">  | </w:t>
      </w:r>
      <w:r w:rsidR="00523DC2" w:rsidRPr="00F648E2">
        <w:rPr>
          <w:rFonts w:eastAsia="Times New Roman" w:cs="Times New Roman"/>
          <w:b/>
          <w:color w:val="000000"/>
          <w:szCs w:val="24"/>
        </w:rPr>
        <w:t xml:space="preserve"> </w:t>
      </w:r>
      <w:r w:rsidR="00B7770B" w:rsidRPr="00F648E2">
        <w:rPr>
          <w:rFonts w:eastAsia="Times New Roman" w:cs="Times New Roman"/>
          <w:b/>
          <w:color w:val="000000"/>
          <w:szCs w:val="24"/>
        </w:rPr>
        <w:t>0740 066 866</w:t>
      </w:r>
    </w:p>
    <w:sectPr w:rsidR="00EC0CCA" w:rsidRPr="00F648E2" w:rsidSect="00A65FD1">
      <w:headerReference w:type="default" r:id="rId13"/>
      <w:footerReference w:type="default" r:id="rId14"/>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94FF" w14:textId="77777777" w:rsidR="00881C9D" w:rsidRDefault="00881C9D" w:rsidP="00254B46">
      <w:pPr>
        <w:spacing w:before="0" w:line="240" w:lineRule="auto"/>
      </w:pPr>
      <w:r>
        <w:separator/>
      </w:r>
    </w:p>
  </w:endnote>
  <w:endnote w:type="continuationSeparator" w:id="0">
    <w:p w14:paraId="04241AF3" w14:textId="77777777" w:rsidR="00881C9D" w:rsidRDefault="00881C9D" w:rsidP="00254B46">
      <w:pPr>
        <w:spacing w:before="0" w:line="240" w:lineRule="auto"/>
      </w:pPr>
      <w:r>
        <w:continuationSeparator/>
      </w:r>
    </w:p>
  </w:endnote>
  <w:endnote w:type="continuationNotice" w:id="1">
    <w:p w14:paraId="132778CE" w14:textId="77777777" w:rsidR="00881C9D" w:rsidRDefault="00881C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D281" w14:textId="77777777" w:rsidR="00881C9D" w:rsidRDefault="00881C9D" w:rsidP="00254B46">
      <w:pPr>
        <w:spacing w:before="0" w:line="240" w:lineRule="auto"/>
      </w:pPr>
      <w:r>
        <w:separator/>
      </w:r>
    </w:p>
  </w:footnote>
  <w:footnote w:type="continuationSeparator" w:id="0">
    <w:p w14:paraId="459F74DB" w14:textId="77777777" w:rsidR="00881C9D" w:rsidRDefault="00881C9D" w:rsidP="00254B46">
      <w:pPr>
        <w:spacing w:before="0" w:line="240" w:lineRule="auto"/>
      </w:pPr>
      <w:r>
        <w:continuationSeparator/>
      </w:r>
    </w:p>
  </w:footnote>
  <w:footnote w:type="continuationNotice" w:id="1">
    <w:p w14:paraId="3360D168" w14:textId="77777777" w:rsidR="00881C9D" w:rsidRDefault="00881C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D72FE8"/>
    <w:multiLevelType w:val="hybridMultilevel"/>
    <w:tmpl w:val="EEE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4195"/>
    <w:rsid w:val="000071F2"/>
    <w:rsid w:val="00011E33"/>
    <w:rsid w:val="00015056"/>
    <w:rsid w:val="000213BC"/>
    <w:rsid w:val="000338E9"/>
    <w:rsid w:val="00037662"/>
    <w:rsid w:val="0004358E"/>
    <w:rsid w:val="000447DB"/>
    <w:rsid w:val="0004720A"/>
    <w:rsid w:val="000500A6"/>
    <w:rsid w:val="00050C57"/>
    <w:rsid w:val="00052A70"/>
    <w:rsid w:val="00061A2E"/>
    <w:rsid w:val="000628A8"/>
    <w:rsid w:val="00062D7B"/>
    <w:rsid w:val="00063EBC"/>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B7723"/>
    <w:rsid w:val="000C13C0"/>
    <w:rsid w:val="000C434A"/>
    <w:rsid w:val="000C5778"/>
    <w:rsid w:val="000D4576"/>
    <w:rsid w:val="000D6E3E"/>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A6B19"/>
    <w:rsid w:val="001A72FE"/>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7010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2DC4"/>
    <w:rsid w:val="00387F9C"/>
    <w:rsid w:val="003936CD"/>
    <w:rsid w:val="0039604F"/>
    <w:rsid w:val="003A1771"/>
    <w:rsid w:val="003B107B"/>
    <w:rsid w:val="003B22CF"/>
    <w:rsid w:val="003B2566"/>
    <w:rsid w:val="003B30C3"/>
    <w:rsid w:val="003C3172"/>
    <w:rsid w:val="003C7C31"/>
    <w:rsid w:val="003D0A43"/>
    <w:rsid w:val="003D1B75"/>
    <w:rsid w:val="003D1EA0"/>
    <w:rsid w:val="003D488D"/>
    <w:rsid w:val="003E4037"/>
    <w:rsid w:val="003E55D5"/>
    <w:rsid w:val="003E70CB"/>
    <w:rsid w:val="003E7A22"/>
    <w:rsid w:val="003F01AC"/>
    <w:rsid w:val="003F2CA2"/>
    <w:rsid w:val="003F4E5F"/>
    <w:rsid w:val="004015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4D2B"/>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279"/>
    <w:rsid w:val="005B2946"/>
    <w:rsid w:val="005B427E"/>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B2F"/>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269F"/>
    <w:rsid w:val="008437C4"/>
    <w:rsid w:val="00843F5A"/>
    <w:rsid w:val="008449F3"/>
    <w:rsid w:val="00846C6C"/>
    <w:rsid w:val="00847808"/>
    <w:rsid w:val="00850D05"/>
    <w:rsid w:val="00852C7A"/>
    <w:rsid w:val="00853D8A"/>
    <w:rsid w:val="008576C8"/>
    <w:rsid w:val="008636E4"/>
    <w:rsid w:val="00864433"/>
    <w:rsid w:val="00870441"/>
    <w:rsid w:val="008750AF"/>
    <w:rsid w:val="00881C9D"/>
    <w:rsid w:val="00884D19"/>
    <w:rsid w:val="00885644"/>
    <w:rsid w:val="00885B29"/>
    <w:rsid w:val="00886184"/>
    <w:rsid w:val="00887E1A"/>
    <w:rsid w:val="008906F2"/>
    <w:rsid w:val="008912E1"/>
    <w:rsid w:val="008921BE"/>
    <w:rsid w:val="00893CCF"/>
    <w:rsid w:val="00896BFC"/>
    <w:rsid w:val="008A0AD8"/>
    <w:rsid w:val="008A2069"/>
    <w:rsid w:val="008A2238"/>
    <w:rsid w:val="008A7281"/>
    <w:rsid w:val="008B01FF"/>
    <w:rsid w:val="008B1A2F"/>
    <w:rsid w:val="008B213F"/>
    <w:rsid w:val="008B5747"/>
    <w:rsid w:val="008C0490"/>
    <w:rsid w:val="008C105E"/>
    <w:rsid w:val="008D2D35"/>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1E94"/>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465FE"/>
    <w:rsid w:val="00A5011E"/>
    <w:rsid w:val="00A57F4E"/>
    <w:rsid w:val="00A61248"/>
    <w:rsid w:val="00A61805"/>
    <w:rsid w:val="00A62618"/>
    <w:rsid w:val="00A62746"/>
    <w:rsid w:val="00A645D2"/>
    <w:rsid w:val="00A65FD1"/>
    <w:rsid w:val="00A73001"/>
    <w:rsid w:val="00A740AE"/>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1E9F"/>
    <w:rsid w:val="00B24A0A"/>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56D1"/>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4901"/>
    <w:rsid w:val="00C57DCC"/>
    <w:rsid w:val="00C62CDE"/>
    <w:rsid w:val="00C64585"/>
    <w:rsid w:val="00C646EA"/>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157C"/>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176F"/>
    <w:rsid w:val="00F5547B"/>
    <w:rsid w:val="00F57493"/>
    <w:rsid w:val="00F57DF9"/>
    <w:rsid w:val="00F61F81"/>
    <w:rsid w:val="00F648E2"/>
    <w:rsid w:val="00F7045E"/>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459316">
      <w:bodyDiv w:val="1"/>
      <w:marLeft w:val="0"/>
      <w:marRight w:val="0"/>
      <w:marTop w:val="0"/>
      <w:marBottom w:val="0"/>
      <w:divBdr>
        <w:top w:val="none" w:sz="0" w:space="0" w:color="auto"/>
        <w:left w:val="none" w:sz="0" w:space="0" w:color="auto"/>
        <w:bottom w:val="none" w:sz="0" w:space="0" w:color="auto"/>
        <w:right w:val="none" w:sz="0" w:space="0" w:color="auto"/>
      </w:divBdr>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hai.rotariu@dnsc.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dns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DF00-4454-4AEA-9689-757E7344F8C9}">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2.xml><?xml version="1.0" encoding="utf-8"?>
<ds:datastoreItem xmlns:ds="http://schemas.openxmlformats.org/officeDocument/2006/customXml" ds:itemID="{F56F15B8-D7F7-4FFA-9D79-4D442F6B9E52}">
  <ds:schemaRefs>
    <ds:schemaRef ds:uri="http://schemas.microsoft.com/sharepoint/v3/contenttype/forms"/>
  </ds:schemaRefs>
</ds:datastoreItem>
</file>

<file path=customXml/itemProps3.xml><?xml version="1.0" encoding="utf-8"?>
<ds:datastoreItem xmlns:ds="http://schemas.openxmlformats.org/officeDocument/2006/customXml" ds:itemID="{A68021EB-BA96-4359-B526-4C81349C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822AD-B7D4-4502-BB66-17E9C706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 - Press Release</vt:lpstr>
      <vt:lpstr/>
    </vt:vector>
  </TitlesOfParts>
  <Manager>mihai.rotariu@dnsc.ro</Manager>
  <Company>DNSC</Company>
  <LinksUpToDate>false</LinksUpToDate>
  <CharactersWithSpaces>3415</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 - Press Release</dc:title>
  <dc:subject>DNSC</dc:subject>
  <dc:creator>Dan Cimpean</dc:creator>
  <cp:keywords>DNSC Comunicat de Presa - Press Release</cp:keywords>
  <dc:description>DNSC Comunicat de Presa - Press Release TLP=CLEAR</dc:description>
  <cp:lastModifiedBy>Mihai Rotariu</cp:lastModifiedBy>
  <cp:revision>11</cp:revision>
  <cp:lastPrinted>2022-12-14T18:56:00Z</cp:lastPrinted>
  <dcterms:created xsi:type="dcterms:W3CDTF">2022-12-14T17:09:00Z</dcterms:created>
  <dcterms:modified xsi:type="dcterms:W3CDTF">2022-12-14T18:56:00Z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