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956D" w14:textId="1E58D3AD" w:rsidR="00BA4232" w:rsidRPr="00D468E5" w:rsidRDefault="00DD665D">
      <w:pPr>
        <w:pStyle w:val="P68B1DB1-Normal1"/>
        <w:spacing w:line="240" w:lineRule="auto"/>
        <w:jc w:val="center"/>
        <w:rPr>
          <w:lang w:val="en-US"/>
        </w:rPr>
      </w:pPr>
      <w:bookmarkStart w:id="0" w:name="_Hlk41475297"/>
      <w:bookmarkStart w:id="1" w:name="_Hlk46230558"/>
      <w:r w:rsidRPr="00D468E5">
        <w:rPr>
          <w:lang w:val="en-US"/>
        </w:rPr>
        <w:t>PRESS RELEASE</w:t>
      </w:r>
    </w:p>
    <w:p w14:paraId="24329CFC" w14:textId="2037ACC5" w:rsidR="00DD665D" w:rsidRPr="00D468E5" w:rsidRDefault="00DD665D">
      <w:pPr>
        <w:pStyle w:val="P68B1DB1-Normal1"/>
        <w:spacing w:line="240" w:lineRule="auto"/>
        <w:jc w:val="center"/>
        <w:rPr>
          <w:lang w:val="en-US"/>
        </w:rPr>
      </w:pPr>
      <w:r w:rsidRPr="00D468E5">
        <w:rPr>
          <w:lang w:val="en-US"/>
        </w:rPr>
        <w:t xml:space="preserve">In the context of Russian Federation’s invasion against Ukraine, Romania adopted the </w:t>
      </w:r>
      <w:r w:rsidR="00462187" w:rsidRPr="00D468E5">
        <w:rPr>
          <w:lang w:val="en-US"/>
        </w:rPr>
        <w:t xml:space="preserve">law </w:t>
      </w:r>
      <w:r w:rsidRPr="00D468E5">
        <w:rPr>
          <w:lang w:val="en-US"/>
        </w:rPr>
        <w:t xml:space="preserve">that forbids procurement or use by </w:t>
      </w:r>
      <w:r w:rsidR="00592F48" w:rsidRPr="00D468E5">
        <w:rPr>
          <w:lang w:val="en-US"/>
        </w:rPr>
        <w:t xml:space="preserve">any </w:t>
      </w:r>
      <w:r w:rsidRPr="00D468E5">
        <w:rPr>
          <w:lang w:val="en-US"/>
        </w:rPr>
        <w:t xml:space="preserve">public </w:t>
      </w:r>
      <w:r w:rsidR="008B291F" w:rsidRPr="00D468E5">
        <w:rPr>
          <w:lang w:val="en-US"/>
        </w:rPr>
        <w:t>body</w:t>
      </w:r>
      <w:r w:rsidRPr="00D468E5">
        <w:rPr>
          <w:lang w:val="en-US"/>
        </w:rPr>
        <w:t xml:space="preserve"> of cyber</w:t>
      </w:r>
      <w:r w:rsidR="00592F48" w:rsidRPr="00D468E5">
        <w:rPr>
          <w:lang w:val="en-US"/>
        </w:rPr>
        <w:t xml:space="preserve"> or</w:t>
      </w:r>
      <w:r w:rsidRPr="00D468E5">
        <w:rPr>
          <w:lang w:val="en-US"/>
        </w:rPr>
        <w:t xml:space="preserve"> information security products and services coming directly or indirectly from the Russian Federation</w:t>
      </w:r>
    </w:p>
    <w:bookmarkEnd w:id="0"/>
    <w:bookmarkEnd w:id="1"/>
    <w:p w14:paraId="76E712C5" w14:textId="77777777" w:rsidR="00BA4232" w:rsidRPr="00D468E5" w:rsidRDefault="00BA4232">
      <w:pPr>
        <w:spacing w:line="240" w:lineRule="auto"/>
        <w:rPr>
          <w:rFonts w:eastAsia="Times New Roman" w:cs="Times New Roman"/>
          <w:b/>
          <w:color w:val="000000"/>
          <w:sz w:val="22"/>
          <w:lang w:val="en-US"/>
        </w:rPr>
      </w:pPr>
    </w:p>
    <w:p w14:paraId="7DD1EF7D" w14:textId="222D02AD" w:rsidR="00BA4232" w:rsidRPr="00D468E5" w:rsidRDefault="00462187">
      <w:pPr>
        <w:pStyle w:val="P68B1DB1-Normal2"/>
        <w:spacing w:line="240" w:lineRule="auto"/>
        <w:rPr>
          <w:lang w:val="en-US"/>
        </w:rPr>
      </w:pPr>
      <w:r w:rsidRPr="00D468E5">
        <w:rPr>
          <w:lang w:val="en-US"/>
        </w:rPr>
        <w:t>Bucharest, 14</w:t>
      </w:r>
      <w:r w:rsidR="00E724FF" w:rsidRPr="00D468E5">
        <w:rPr>
          <w:vertAlign w:val="superscript"/>
          <w:lang w:val="en-US"/>
        </w:rPr>
        <w:t>th</w:t>
      </w:r>
      <w:r w:rsidR="00E724FF" w:rsidRPr="00D468E5">
        <w:rPr>
          <w:lang w:val="en-US"/>
        </w:rPr>
        <w:t xml:space="preserve"> of</w:t>
      </w:r>
      <w:r w:rsidRPr="00D468E5">
        <w:rPr>
          <w:lang w:val="en-US"/>
        </w:rPr>
        <w:t xml:space="preserve"> December 2022</w:t>
      </w:r>
    </w:p>
    <w:p w14:paraId="0AD25918" w14:textId="3CFBF47A" w:rsidR="00BA4232" w:rsidRPr="00D468E5" w:rsidRDefault="00462187">
      <w:pPr>
        <w:pStyle w:val="P68B1DB1-Normal3"/>
        <w:spacing w:line="240" w:lineRule="auto"/>
        <w:rPr>
          <w:lang w:val="en-US"/>
        </w:rPr>
      </w:pPr>
      <w:r w:rsidRPr="00D468E5">
        <w:rPr>
          <w:lang w:val="en-US"/>
        </w:rPr>
        <w:t xml:space="preserve">Today, December 14, 2022, </w:t>
      </w:r>
      <w:r w:rsidR="00E724FF" w:rsidRPr="00D468E5">
        <w:rPr>
          <w:lang w:val="en-US"/>
        </w:rPr>
        <w:t xml:space="preserve">the </w:t>
      </w:r>
      <w:bookmarkStart w:id="2" w:name="_Hlk121930917"/>
      <w:r w:rsidRPr="00D468E5">
        <w:rPr>
          <w:lang w:val="en-US"/>
        </w:rPr>
        <w:fldChar w:fldCharType="begin"/>
      </w:r>
      <w:r w:rsidR="00AE47F9" w:rsidRPr="00D468E5">
        <w:rPr>
          <w:lang w:val="en-US"/>
        </w:rPr>
        <w:instrText>HYPERLINK "https://dnsc.ro/vezi/document/monitorul-oficial-partea-i-nr-1200-14-decembrie-2022"</w:instrText>
      </w:r>
      <w:r w:rsidRPr="00D468E5">
        <w:rPr>
          <w:lang w:val="en-US"/>
        </w:rPr>
        <w:fldChar w:fldCharType="separate"/>
      </w:r>
      <w:r w:rsidRPr="00D468E5">
        <w:rPr>
          <w:rStyle w:val="Hyperlink"/>
          <w:lang w:val="en-US"/>
        </w:rPr>
        <w:t>Law on the Protection of Information Systems of Public Authorities and Institutions in the Context of the Russian Federation’s Invasion against Ukraine</w:t>
      </w:r>
      <w:r w:rsidRPr="00D468E5">
        <w:rPr>
          <w:lang w:val="en-US"/>
        </w:rPr>
        <w:fldChar w:fldCharType="end"/>
      </w:r>
      <w:bookmarkEnd w:id="2"/>
      <w:r w:rsidR="00E724FF" w:rsidRPr="00D468E5">
        <w:rPr>
          <w:lang w:val="en-US"/>
        </w:rPr>
        <w:t xml:space="preserve"> was published in the Official Gazette</w:t>
      </w:r>
      <w:r w:rsidR="00DD665D" w:rsidRPr="00D468E5">
        <w:rPr>
          <w:lang w:val="en-US"/>
        </w:rPr>
        <w:t>, and therefore ent</w:t>
      </w:r>
      <w:r w:rsidR="0042122E">
        <w:rPr>
          <w:lang w:val="en-US"/>
        </w:rPr>
        <w:t>er</w:t>
      </w:r>
      <w:r w:rsidR="00DD665D" w:rsidRPr="00D468E5">
        <w:rPr>
          <w:lang w:val="en-US"/>
        </w:rPr>
        <w:t>s into force</w:t>
      </w:r>
      <w:r w:rsidRPr="00D468E5">
        <w:rPr>
          <w:lang w:val="en-US"/>
        </w:rPr>
        <w:t xml:space="preserve">. The law was initiated by the </w:t>
      </w:r>
      <w:r w:rsidR="00DD665D" w:rsidRPr="00D468E5">
        <w:rPr>
          <w:lang w:val="en-US"/>
        </w:rPr>
        <w:t xml:space="preserve">Romanian </w:t>
      </w:r>
      <w:r w:rsidRPr="00D468E5">
        <w:rPr>
          <w:lang w:val="en-US"/>
        </w:rPr>
        <w:t>Ministry of Research, Innovation and Digitali</w:t>
      </w:r>
      <w:r w:rsidR="00BD0DDF" w:rsidRPr="00D468E5">
        <w:rPr>
          <w:lang w:val="en-US"/>
        </w:rPr>
        <w:t>z</w:t>
      </w:r>
      <w:r w:rsidRPr="00D468E5">
        <w:rPr>
          <w:lang w:val="en-US"/>
        </w:rPr>
        <w:t xml:space="preserve">ation </w:t>
      </w:r>
      <w:r w:rsidR="00DD665D" w:rsidRPr="00D468E5">
        <w:rPr>
          <w:lang w:val="en-US"/>
        </w:rPr>
        <w:t xml:space="preserve">(MCID) </w:t>
      </w:r>
      <w:r w:rsidRPr="00D468E5">
        <w:rPr>
          <w:lang w:val="en-US"/>
        </w:rPr>
        <w:t>and was voted by the Parliament on 23.11.2022.</w:t>
      </w:r>
    </w:p>
    <w:p w14:paraId="65657559" w14:textId="189DEA0E" w:rsidR="00BA4232" w:rsidRPr="00D468E5" w:rsidRDefault="00462187">
      <w:pPr>
        <w:pStyle w:val="P68B1DB1-Normal3"/>
        <w:spacing w:line="240" w:lineRule="auto"/>
        <w:rPr>
          <w:lang w:val="en-US"/>
        </w:rPr>
      </w:pPr>
      <w:r w:rsidRPr="00D468E5">
        <w:rPr>
          <w:lang w:val="en-US"/>
        </w:rPr>
        <w:t xml:space="preserve">The law establishes the legal and institutional framework for prohibiting the acquisition and use by public authorities and institutions of </w:t>
      </w:r>
      <w:r w:rsidR="00DD665D" w:rsidRPr="00D468E5">
        <w:rPr>
          <w:lang w:val="en-US"/>
        </w:rPr>
        <w:t xml:space="preserve">cybersecurity and information security </w:t>
      </w:r>
      <w:r w:rsidRPr="00D468E5">
        <w:rPr>
          <w:lang w:val="en-US"/>
        </w:rPr>
        <w:t>software products and services coming directly or indirectly:</w:t>
      </w:r>
    </w:p>
    <w:p w14:paraId="2E50AFE0" w14:textId="2ADF73F1" w:rsidR="00BA4232" w:rsidRPr="00D468E5" w:rsidRDefault="00462187" w:rsidP="00DD665D">
      <w:pPr>
        <w:pStyle w:val="P68B1DB1-ListParagraph4"/>
        <w:numPr>
          <w:ilvl w:val="0"/>
          <w:numId w:val="47"/>
        </w:numPr>
        <w:spacing w:line="240" w:lineRule="auto"/>
        <w:ind w:left="714" w:hanging="357"/>
        <w:contextualSpacing w:val="0"/>
        <w:rPr>
          <w:lang w:val="en-US"/>
        </w:rPr>
      </w:pPr>
      <w:r w:rsidRPr="00D468E5">
        <w:rPr>
          <w:lang w:val="en-US"/>
        </w:rPr>
        <w:t>from the Russian Federation</w:t>
      </w:r>
      <w:r w:rsidR="00DD665D" w:rsidRPr="00D468E5">
        <w:rPr>
          <w:lang w:val="en-US"/>
        </w:rPr>
        <w:t>;</w:t>
      </w:r>
    </w:p>
    <w:p w14:paraId="3A77316C" w14:textId="596FB58C" w:rsidR="00BA4232" w:rsidRPr="00D468E5" w:rsidRDefault="00462187" w:rsidP="00DD665D">
      <w:pPr>
        <w:pStyle w:val="P68B1DB1-ListParagraph4"/>
        <w:numPr>
          <w:ilvl w:val="0"/>
          <w:numId w:val="47"/>
        </w:numPr>
        <w:spacing w:line="240" w:lineRule="auto"/>
        <w:ind w:left="714" w:hanging="357"/>
        <w:contextualSpacing w:val="0"/>
        <w:rPr>
          <w:lang w:val="en-US"/>
        </w:rPr>
      </w:pPr>
      <w:r w:rsidRPr="00D468E5">
        <w:rPr>
          <w:lang w:val="en-US"/>
        </w:rPr>
        <w:t>from an economic operator under the direct or indirect control of a natural or legal person in the Russian Federation</w:t>
      </w:r>
      <w:r w:rsidR="00DD665D" w:rsidRPr="00D468E5">
        <w:rPr>
          <w:lang w:val="en-US"/>
        </w:rPr>
        <w:t>;</w:t>
      </w:r>
    </w:p>
    <w:p w14:paraId="62E92561" w14:textId="57C9CD2D" w:rsidR="00BA4232" w:rsidRPr="00D468E5" w:rsidRDefault="00462187" w:rsidP="00DD665D">
      <w:pPr>
        <w:pStyle w:val="P68B1DB1-ListParagraph4"/>
        <w:numPr>
          <w:ilvl w:val="0"/>
          <w:numId w:val="47"/>
        </w:numPr>
        <w:spacing w:line="240" w:lineRule="auto"/>
        <w:ind w:left="714" w:hanging="357"/>
        <w:contextualSpacing w:val="0"/>
        <w:rPr>
          <w:lang w:val="en-US"/>
        </w:rPr>
      </w:pPr>
      <w:r w:rsidRPr="00D468E5">
        <w:rPr>
          <w:lang w:val="en-US"/>
        </w:rPr>
        <w:t>from an economic operator whose capital is constituted with a shareholding coming directly or through interposed firms from the Russian Federation</w:t>
      </w:r>
      <w:r w:rsidR="00E724FF" w:rsidRPr="00D468E5">
        <w:rPr>
          <w:lang w:val="en-US"/>
        </w:rPr>
        <w:t>,</w:t>
      </w:r>
      <w:r w:rsidRPr="00D468E5">
        <w:rPr>
          <w:lang w:val="en-US"/>
        </w:rPr>
        <w:t xml:space="preserve"> or whose administrative bodies include persons from the Russian Federation</w:t>
      </w:r>
      <w:r w:rsidR="00E724FF" w:rsidRPr="00D468E5">
        <w:rPr>
          <w:lang w:val="en-US"/>
        </w:rPr>
        <w:t>.</w:t>
      </w:r>
    </w:p>
    <w:p w14:paraId="6703BDBF" w14:textId="3CB69A43" w:rsidR="00BA4232" w:rsidRPr="00D468E5" w:rsidRDefault="00462187">
      <w:pPr>
        <w:pStyle w:val="P68B1DB1-Normal3"/>
        <w:spacing w:line="240" w:lineRule="auto"/>
        <w:rPr>
          <w:lang w:val="en-US"/>
        </w:rPr>
      </w:pPr>
      <w:r w:rsidRPr="00D468E5">
        <w:rPr>
          <w:lang w:val="en-US"/>
        </w:rPr>
        <w:t xml:space="preserve">The law </w:t>
      </w:r>
      <w:r w:rsidR="00592F48" w:rsidRPr="00D468E5">
        <w:rPr>
          <w:lang w:val="en-US"/>
        </w:rPr>
        <w:t>covers</w:t>
      </w:r>
      <w:r w:rsidRPr="00D468E5">
        <w:rPr>
          <w:lang w:val="en-US"/>
        </w:rPr>
        <w:t xml:space="preserve"> all networks and information systems that manage classified information, owned by</w:t>
      </w:r>
      <w:r w:rsidR="00E724FF" w:rsidRPr="00D468E5">
        <w:rPr>
          <w:lang w:val="en-US"/>
        </w:rPr>
        <w:t xml:space="preserve"> public or private </w:t>
      </w:r>
      <w:r w:rsidRPr="00D468E5">
        <w:rPr>
          <w:lang w:val="en-US"/>
        </w:rPr>
        <w:t>entities</w:t>
      </w:r>
      <w:r w:rsidR="00E724FF" w:rsidRPr="00D468E5">
        <w:rPr>
          <w:lang w:val="en-US"/>
        </w:rPr>
        <w:t>,</w:t>
      </w:r>
      <w:r w:rsidRPr="00D468E5">
        <w:rPr>
          <w:lang w:val="en-US"/>
        </w:rPr>
        <w:t xml:space="preserve"> located on the territory of Romania, with the exception of those owned by public authorities and institutions with </w:t>
      </w:r>
      <w:r w:rsidR="00BD0DDF" w:rsidRPr="00D468E5">
        <w:rPr>
          <w:lang w:val="en-US"/>
        </w:rPr>
        <w:t>responsibilities</w:t>
      </w:r>
      <w:r w:rsidRPr="00D468E5">
        <w:rPr>
          <w:lang w:val="en-US"/>
        </w:rPr>
        <w:t xml:space="preserve"> in the </w:t>
      </w:r>
      <w:r w:rsidR="00BD0DDF" w:rsidRPr="00D468E5">
        <w:rPr>
          <w:lang w:val="en-US"/>
        </w:rPr>
        <w:t>domain</w:t>
      </w:r>
      <w:r w:rsidRPr="00D468E5">
        <w:rPr>
          <w:lang w:val="en-US"/>
        </w:rPr>
        <w:t xml:space="preserve"> of national security, cybersecurity, </w:t>
      </w:r>
      <w:r w:rsidR="00D468E5" w:rsidRPr="00D468E5">
        <w:rPr>
          <w:lang w:val="en-US"/>
        </w:rPr>
        <w:t>defense</w:t>
      </w:r>
      <w:r w:rsidRPr="00D468E5">
        <w:rPr>
          <w:lang w:val="en-US"/>
        </w:rPr>
        <w:t xml:space="preserve"> </w:t>
      </w:r>
      <w:r w:rsidR="00BD0DDF" w:rsidRPr="00D468E5">
        <w:rPr>
          <w:lang w:val="en-US"/>
        </w:rPr>
        <w:t>or</w:t>
      </w:r>
      <w:r w:rsidRPr="00D468E5">
        <w:rPr>
          <w:lang w:val="en-US"/>
        </w:rPr>
        <w:t xml:space="preserve"> public order.</w:t>
      </w:r>
    </w:p>
    <w:p w14:paraId="70C0320C" w14:textId="4301003F" w:rsidR="00BA4232" w:rsidRPr="00D468E5" w:rsidRDefault="00462187">
      <w:pPr>
        <w:pStyle w:val="P68B1DB1-Normal3"/>
        <w:spacing w:line="240" w:lineRule="auto"/>
        <w:rPr>
          <w:lang w:val="en-US"/>
        </w:rPr>
      </w:pPr>
      <w:r w:rsidRPr="00D468E5">
        <w:rPr>
          <w:lang w:val="en-US"/>
        </w:rPr>
        <w:t>The security of hardware and software products and the level of trust in them are vital for ensuring the resilience of networks and information systems at national level. In the context of Russia’s war in Ukraine and</w:t>
      </w:r>
      <w:r w:rsidR="00BD0DDF" w:rsidRPr="00D468E5">
        <w:rPr>
          <w:lang w:val="en-US"/>
        </w:rPr>
        <w:t xml:space="preserve"> of the related</w:t>
      </w:r>
      <w:r w:rsidRPr="00D468E5">
        <w:rPr>
          <w:lang w:val="en-US"/>
        </w:rPr>
        <w:t xml:space="preserve"> cyber-attacks, </w:t>
      </w:r>
      <w:r w:rsidR="00E724FF" w:rsidRPr="00D468E5">
        <w:rPr>
          <w:lang w:val="en-US"/>
        </w:rPr>
        <w:t>some</w:t>
      </w:r>
      <w:r w:rsidRPr="00D468E5">
        <w:rPr>
          <w:lang w:val="en-US"/>
        </w:rPr>
        <w:t xml:space="preserve"> </w:t>
      </w:r>
      <w:r w:rsidR="00BD0DDF" w:rsidRPr="00D468E5">
        <w:rPr>
          <w:lang w:val="en-US"/>
        </w:rPr>
        <w:t xml:space="preserve">of which </w:t>
      </w:r>
      <w:r w:rsidRPr="00D468E5">
        <w:rPr>
          <w:lang w:val="en-US"/>
        </w:rPr>
        <w:t xml:space="preserve">targeting and </w:t>
      </w:r>
      <w:r w:rsidR="00BD0DDF" w:rsidRPr="00D468E5">
        <w:rPr>
          <w:lang w:val="en-US"/>
        </w:rPr>
        <w:t>impacting Romanian</w:t>
      </w:r>
      <w:r w:rsidRPr="00D468E5">
        <w:rPr>
          <w:lang w:val="en-US"/>
        </w:rPr>
        <w:t xml:space="preserve"> </w:t>
      </w:r>
      <w:r w:rsidR="00BD0DDF" w:rsidRPr="00D468E5">
        <w:rPr>
          <w:lang w:val="en-US"/>
        </w:rPr>
        <w:t>governmental bodies</w:t>
      </w:r>
      <w:r w:rsidRPr="00D468E5">
        <w:rPr>
          <w:lang w:val="en-US"/>
        </w:rPr>
        <w:t>, organi</w:t>
      </w:r>
      <w:r w:rsidR="00BD0DDF" w:rsidRPr="00D468E5">
        <w:rPr>
          <w:lang w:val="en-US"/>
        </w:rPr>
        <w:t>z</w:t>
      </w:r>
      <w:r w:rsidRPr="00D468E5">
        <w:rPr>
          <w:lang w:val="en-US"/>
        </w:rPr>
        <w:t xml:space="preserve">ations </w:t>
      </w:r>
      <w:r w:rsidR="00BD0DDF" w:rsidRPr="00D468E5">
        <w:rPr>
          <w:lang w:val="en-US"/>
        </w:rPr>
        <w:t>and</w:t>
      </w:r>
      <w:r w:rsidRPr="00D468E5">
        <w:rPr>
          <w:lang w:val="en-US"/>
        </w:rPr>
        <w:t xml:space="preserve"> users, it is also necessary to secure the supply chain by establishing trust criteria for equipment and service providers</w:t>
      </w:r>
      <w:r w:rsidR="00D468E5" w:rsidRPr="00D468E5">
        <w:rPr>
          <w:lang w:val="en-US"/>
        </w:rPr>
        <w:t xml:space="preserve"> alike</w:t>
      </w:r>
      <w:r w:rsidRPr="00D468E5">
        <w:rPr>
          <w:lang w:val="en-US"/>
        </w:rPr>
        <w:t>.</w:t>
      </w:r>
    </w:p>
    <w:p w14:paraId="331D52A6" w14:textId="67BF04A3" w:rsidR="00BA4232" w:rsidRPr="00D468E5" w:rsidRDefault="00462187">
      <w:pPr>
        <w:spacing w:line="240" w:lineRule="auto"/>
        <w:rPr>
          <w:rFonts w:eastAsia="Times New Roman" w:cs="Times New Roman"/>
          <w:color w:val="000000"/>
          <w:sz w:val="22"/>
          <w:lang w:val="en-US"/>
        </w:rPr>
      </w:pPr>
      <w:r w:rsidRPr="00D468E5">
        <w:rPr>
          <w:rFonts w:eastAsia="Times New Roman" w:cs="Times New Roman"/>
          <w:color w:val="000000"/>
          <w:sz w:val="22"/>
          <w:lang w:val="en-US"/>
        </w:rPr>
        <w:t xml:space="preserve">The </w:t>
      </w:r>
      <w:r w:rsidR="00E724FF" w:rsidRPr="00D468E5">
        <w:rPr>
          <w:rFonts w:eastAsia="Times New Roman" w:cs="Times New Roman"/>
          <w:color w:val="000000"/>
          <w:sz w:val="22"/>
          <w:lang w:val="en-US"/>
        </w:rPr>
        <w:t xml:space="preserve">Romanian </w:t>
      </w:r>
      <w:r w:rsidRPr="00D468E5">
        <w:rPr>
          <w:rFonts w:eastAsia="Times New Roman" w:cs="Times New Roman"/>
          <w:color w:val="000000"/>
          <w:sz w:val="22"/>
          <w:lang w:val="en-US"/>
        </w:rPr>
        <w:t>National Cyber Security Directorate (</w:t>
      </w:r>
      <w:r w:rsidR="00D468E5" w:rsidRPr="00D468E5">
        <w:rPr>
          <w:rFonts w:eastAsia="Times New Roman" w:cs="Times New Roman"/>
          <w:color w:val="000000"/>
          <w:sz w:val="22"/>
          <w:lang w:val="en-US"/>
        </w:rPr>
        <w:t>DNSC</w:t>
      </w:r>
      <w:r w:rsidRPr="00D468E5">
        <w:rPr>
          <w:rFonts w:eastAsia="Times New Roman" w:cs="Times New Roman"/>
          <w:color w:val="000000"/>
          <w:sz w:val="22"/>
          <w:lang w:val="en-US"/>
        </w:rPr>
        <w:t>), together with the</w:t>
      </w:r>
      <w:r w:rsidRPr="00D468E5">
        <w:rPr>
          <w:lang w:val="en-US"/>
        </w:rPr>
        <w:t xml:space="preserve"> </w:t>
      </w:r>
      <w:r w:rsidRPr="00D468E5">
        <w:rPr>
          <w:rFonts w:eastAsia="Times New Roman" w:cs="Times New Roman"/>
          <w:color w:val="000000"/>
          <w:sz w:val="22"/>
          <w:lang w:val="en-US"/>
        </w:rPr>
        <w:t xml:space="preserve">Romanian </w:t>
      </w:r>
      <w:r w:rsidR="00D468E5" w:rsidRPr="00D468E5">
        <w:rPr>
          <w:rFonts w:eastAsia="Times New Roman" w:cs="Times New Roman"/>
          <w:color w:val="000000"/>
          <w:sz w:val="22"/>
          <w:lang w:val="en-US"/>
        </w:rPr>
        <w:t>Digitalization</w:t>
      </w:r>
      <w:r w:rsidRPr="00D468E5">
        <w:rPr>
          <w:rFonts w:eastAsia="Times New Roman" w:cs="Times New Roman"/>
          <w:color w:val="000000"/>
          <w:sz w:val="22"/>
          <w:lang w:val="en-US"/>
        </w:rPr>
        <w:t xml:space="preserve"> Authority</w:t>
      </w:r>
      <w:r w:rsidR="00D468E5" w:rsidRPr="00D468E5">
        <w:rPr>
          <w:rFonts w:eastAsia="Times New Roman" w:cs="Times New Roman"/>
          <w:color w:val="000000"/>
          <w:sz w:val="22"/>
          <w:lang w:val="en-US"/>
        </w:rPr>
        <w:t xml:space="preserve"> (ADR)</w:t>
      </w:r>
      <w:r w:rsidRPr="00D468E5">
        <w:rPr>
          <w:rFonts w:eastAsia="Times New Roman" w:cs="Times New Roman"/>
          <w:color w:val="000000"/>
          <w:sz w:val="22"/>
          <w:lang w:val="en-US"/>
        </w:rPr>
        <w:t>, the Romanian Intelligence Service</w:t>
      </w:r>
      <w:r w:rsidR="00D468E5" w:rsidRPr="00D468E5">
        <w:rPr>
          <w:rFonts w:eastAsia="Times New Roman" w:cs="Times New Roman"/>
          <w:color w:val="000000"/>
          <w:sz w:val="22"/>
          <w:lang w:val="en-US"/>
        </w:rPr>
        <w:t xml:space="preserve"> (SRI)</w:t>
      </w:r>
      <w:r w:rsidRPr="00D468E5">
        <w:rPr>
          <w:rFonts w:eastAsia="Times New Roman" w:cs="Times New Roman"/>
          <w:color w:val="000000"/>
          <w:sz w:val="22"/>
          <w:lang w:val="en-US"/>
        </w:rPr>
        <w:t xml:space="preserve">, the Ministry of National </w:t>
      </w:r>
      <w:r w:rsidR="00D468E5" w:rsidRPr="00D468E5">
        <w:rPr>
          <w:rFonts w:eastAsia="Times New Roman" w:cs="Times New Roman"/>
          <w:color w:val="000000"/>
          <w:sz w:val="22"/>
          <w:lang w:val="en-US"/>
        </w:rPr>
        <w:t>Defense (</w:t>
      </w:r>
      <w:proofErr w:type="spellStart"/>
      <w:r w:rsidR="00D468E5" w:rsidRPr="00D468E5">
        <w:rPr>
          <w:rFonts w:eastAsia="Times New Roman" w:cs="Times New Roman"/>
          <w:color w:val="000000"/>
          <w:sz w:val="22"/>
          <w:lang w:val="en-US"/>
        </w:rPr>
        <w:t>MapN</w:t>
      </w:r>
      <w:proofErr w:type="spellEnd"/>
      <w:r w:rsidR="00D468E5" w:rsidRPr="00D468E5">
        <w:rPr>
          <w:rFonts w:eastAsia="Times New Roman" w:cs="Times New Roman"/>
          <w:color w:val="000000"/>
          <w:sz w:val="22"/>
          <w:lang w:val="en-US"/>
        </w:rPr>
        <w:t>)</w:t>
      </w:r>
      <w:r w:rsidRPr="00D468E5">
        <w:rPr>
          <w:rFonts w:eastAsia="Times New Roman" w:cs="Times New Roman"/>
          <w:color w:val="000000"/>
          <w:sz w:val="22"/>
          <w:lang w:val="en-US"/>
        </w:rPr>
        <w:t>, the Ministry of Internal Affairs</w:t>
      </w:r>
      <w:r w:rsidR="00D468E5" w:rsidRPr="00D468E5">
        <w:rPr>
          <w:rFonts w:eastAsia="Times New Roman" w:cs="Times New Roman"/>
          <w:color w:val="000000"/>
          <w:sz w:val="22"/>
          <w:lang w:val="en-US"/>
        </w:rPr>
        <w:t xml:space="preserve"> (MAI)</w:t>
      </w:r>
      <w:r w:rsidRPr="00D468E5">
        <w:rPr>
          <w:rFonts w:eastAsia="Times New Roman" w:cs="Times New Roman"/>
          <w:color w:val="000000"/>
          <w:sz w:val="22"/>
          <w:lang w:val="en-US"/>
        </w:rPr>
        <w:t>, the Special Telecommunications Service</w:t>
      </w:r>
      <w:r w:rsidR="00D468E5" w:rsidRPr="00D468E5">
        <w:rPr>
          <w:rFonts w:eastAsia="Times New Roman" w:cs="Times New Roman"/>
          <w:color w:val="000000"/>
          <w:sz w:val="22"/>
          <w:lang w:val="en-US"/>
        </w:rPr>
        <w:t xml:space="preserve"> (STS)</w:t>
      </w:r>
      <w:r w:rsidRPr="00D468E5">
        <w:rPr>
          <w:rFonts w:eastAsia="Times New Roman" w:cs="Times New Roman"/>
          <w:color w:val="000000"/>
          <w:sz w:val="22"/>
          <w:lang w:val="en-US"/>
        </w:rPr>
        <w:t>, the Protection and Guard Service</w:t>
      </w:r>
      <w:r w:rsidR="00D468E5" w:rsidRPr="00D468E5">
        <w:rPr>
          <w:rFonts w:eastAsia="Times New Roman" w:cs="Times New Roman"/>
          <w:color w:val="000000"/>
          <w:sz w:val="22"/>
          <w:lang w:val="en-US"/>
        </w:rPr>
        <w:t xml:space="preserve"> (SPP)</w:t>
      </w:r>
      <w:r w:rsidRPr="00D468E5">
        <w:rPr>
          <w:rFonts w:eastAsia="Times New Roman" w:cs="Times New Roman"/>
          <w:color w:val="000000"/>
          <w:sz w:val="22"/>
          <w:lang w:val="en-US"/>
        </w:rPr>
        <w:t xml:space="preserve"> and the Office of the National Register of State Secret Information</w:t>
      </w:r>
      <w:r w:rsidR="00D468E5" w:rsidRPr="00D468E5">
        <w:rPr>
          <w:rFonts w:eastAsia="Times New Roman" w:cs="Times New Roman"/>
          <w:color w:val="000000"/>
          <w:sz w:val="22"/>
          <w:lang w:val="en-US"/>
        </w:rPr>
        <w:t xml:space="preserve"> (ORNISS)</w:t>
      </w:r>
      <w:r w:rsidRPr="00D468E5">
        <w:rPr>
          <w:rFonts w:eastAsia="Times New Roman" w:cs="Times New Roman"/>
          <w:color w:val="000000"/>
          <w:sz w:val="22"/>
          <w:lang w:val="en-US"/>
        </w:rPr>
        <w:t>, ha</w:t>
      </w:r>
      <w:r w:rsidR="00D468E5" w:rsidRPr="00D468E5">
        <w:rPr>
          <w:rFonts w:eastAsia="Times New Roman" w:cs="Times New Roman"/>
          <w:color w:val="000000"/>
          <w:sz w:val="22"/>
          <w:lang w:val="en-US"/>
        </w:rPr>
        <w:t xml:space="preserve">ve a mandate and </w:t>
      </w:r>
      <w:r w:rsidRPr="00D468E5">
        <w:rPr>
          <w:rFonts w:eastAsia="Times New Roman" w:cs="Times New Roman"/>
          <w:color w:val="000000"/>
          <w:sz w:val="22"/>
          <w:lang w:val="en-US"/>
        </w:rPr>
        <w:t xml:space="preserve">an active role in identifying the products and services covered by this law. </w:t>
      </w:r>
    </w:p>
    <w:p w14:paraId="60A87BDE" w14:textId="4BE448E8" w:rsidR="00BA4232" w:rsidRPr="00D468E5" w:rsidRDefault="00462187">
      <w:pPr>
        <w:pStyle w:val="P68B1DB1-Normal3"/>
        <w:spacing w:line="240" w:lineRule="auto"/>
        <w:rPr>
          <w:lang w:val="en-US"/>
        </w:rPr>
      </w:pPr>
      <w:r w:rsidRPr="00D468E5">
        <w:rPr>
          <w:lang w:val="en-US"/>
        </w:rPr>
        <w:t xml:space="preserve">The law has a direct impact only on </w:t>
      </w:r>
      <w:r w:rsidR="00D468E5" w:rsidRPr="00D468E5">
        <w:rPr>
          <w:lang w:val="en-US"/>
        </w:rPr>
        <w:t>certain</w:t>
      </w:r>
      <w:r w:rsidRPr="00D468E5">
        <w:rPr>
          <w:lang w:val="en-US"/>
        </w:rPr>
        <w:t xml:space="preserve"> categories of </w:t>
      </w:r>
      <w:r w:rsidR="00D468E5" w:rsidRPr="00D468E5">
        <w:rPr>
          <w:lang w:val="en-US"/>
        </w:rPr>
        <w:t>stakeholders</w:t>
      </w:r>
      <w:r w:rsidRPr="00D468E5">
        <w:rPr>
          <w:lang w:val="en-US"/>
        </w:rPr>
        <w:t xml:space="preserve">, </w:t>
      </w:r>
      <w:r w:rsidR="00D468E5" w:rsidRPr="00D468E5">
        <w:rPr>
          <w:lang w:val="en-US"/>
        </w:rPr>
        <w:t>however</w:t>
      </w:r>
      <w:r w:rsidRPr="00D468E5">
        <w:rPr>
          <w:lang w:val="en-US"/>
        </w:rPr>
        <w:t xml:space="preserve"> the Directorate recommends </w:t>
      </w:r>
      <w:r w:rsidR="00D468E5" w:rsidRPr="00D468E5">
        <w:rPr>
          <w:lang w:val="en-US"/>
        </w:rPr>
        <w:t>to all impacted</w:t>
      </w:r>
      <w:r w:rsidRPr="00D468E5">
        <w:rPr>
          <w:lang w:val="en-US"/>
        </w:rPr>
        <w:t xml:space="preserve"> </w:t>
      </w:r>
      <w:r w:rsidR="00D468E5" w:rsidRPr="00D468E5">
        <w:rPr>
          <w:lang w:val="en-US"/>
        </w:rPr>
        <w:t xml:space="preserve">Romanian </w:t>
      </w:r>
      <w:r w:rsidRPr="00D468E5">
        <w:rPr>
          <w:lang w:val="en-US"/>
        </w:rPr>
        <w:t xml:space="preserve">users </w:t>
      </w:r>
      <w:r w:rsidR="00D468E5" w:rsidRPr="00D468E5">
        <w:rPr>
          <w:lang w:val="en-US"/>
        </w:rPr>
        <w:t>and decision to</w:t>
      </w:r>
      <w:r w:rsidRPr="00D468E5">
        <w:rPr>
          <w:lang w:val="en-US"/>
        </w:rPr>
        <w:t xml:space="preserve"> carefully </w:t>
      </w:r>
      <w:r w:rsidR="00D468E5" w:rsidRPr="00D468E5">
        <w:rPr>
          <w:lang w:val="en-US"/>
        </w:rPr>
        <w:t>assess</w:t>
      </w:r>
      <w:r w:rsidRPr="00D468E5">
        <w:rPr>
          <w:lang w:val="en-US"/>
        </w:rPr>
        <w:t xml:space="preserve"> the security solutions they use, in the context of the hybrid conflict between Russia and Ukraine. </w:t>
      </w:r>
    </w:p>
    <w:p w14:paraId="0CEDC290" w14:textId="586A8BC9" w:rsidR="00BA4232" w:rsidRPr="00D468E5" w:rsidRDefault="001E7796">
      <w:pPr>
        <w:spacing w:line="240" w:lineRule="auto"/>
        <w:rPr>
          <w:rFonts w:eastAsia="Times New Roman" w:cs="Times New Roman"/>
          <w:color w:val="FF0000"/>
          <w:sz w:val="22"/>
          <w:lang w:val="en-US"/>
        </w:rPr>
      </w:pPr>
      <w:r w:rsidRPr="00D468E5">
        <w:rPr>
          <w:rFonts w:eastAsia="Times New Roman" w:cs="Times New Roman"/>
          <w:color w:val="000000"/>
          <w:sz w:val="22"/>
          <w:lang w:val="en-US"/>
        </w:rPr>
        <w:t>T</w:t>
      </w:r>
      <w:r w:rsidR="00462187" w:rsidRPr="00D468E5">
        <w:rPr>
          <w:rFonts w:eastAsia="Times New Roman" w:cs="Times New Roman"/>
          <w:color w:val="000000"/>
          <w:sz w:val="22"/>
          <w:lang w:val="en-US"/>
        </w:rPr>
        <w:t xml:space="preserve">he Directorate’s team </w:t>
      </w:r>
      <w:r w:rsidRPr="00D468E5">
        <w:rPr>
          <w:rFonts w:eastAsia="Times New Roman" w:cs="Times New Roman"/>
          <w:color w:val="000000"/>
          <w:sz w:val="22"/>
          <w:lang w:val="en-US"/>
        </w:rPr>
        <w:t xml:space="preserve">will </w:t>
      </w:r>
      <w:proofErr w:type="gramStart"/>
      <w:r w:rsidR="00462187" w:rsidRPr="00D468E5">
        <w:rPr>
          <w:rFonts w:eastAsia="Times New Roman" w:cs="Times New Roman"/>
          <w:color w:val="000000"/>
          <w:sz w:val="22"/>
          <w:lang w:val="en-US"/>
        </w:rPr>
        <w:t>provide assi</w:t>
      </w:r>
      <w:bookmarkStart w:id="3" w:name="_GoBack"/>
      <w:bookmarkEnd w:id="3"/>
      <w:r w:rsidR="00462187" w:rsidRPr="00D468E5">
        <w:rPr>
          <w:rFonts w:eastAsia="Times New Roman" w:cs="Times New Roman"/>
          <w:color w:val="000000"/>
          <w:sz w:val="22"/>
          <w:lang w:val="en-US"/>
        </w:rPr>
        <w:t>stance to</w:t>
      </w:r>
      <w:proofErr w:type="gramEnd"/>
      <w:r w:rsidR="00462187" w:rsidRPr="00D468E5">
        <w:rPr>
          <w:rFonts w:eastAsia="Times New Roman" w:cs="Times New Roman"/>
          <w:color w:val="000000"/>
          <w:sz w:val="22"/>
          <w:lang w:val="en-US"/>
        </w:rPr>
        <w:t xml:space="preserve"> entities or users who need support in this case</w:t>
      </w:r>
      <w:r w:rsidRPr="00D468E5">
        <w:rPr>
          <w:rFonts w:eastAsia="Times New Roman" w:cs="Times New Roman"/>
          <w:color w:val="000000"/>
          <w:sz w:val="22"/>
          <w:lang w:val="en-US"/>
        </w:rPr>
        <w:t>, as usual</w:t>
      </w:r>
      <w:r w:rsidR="00462187" w:rsidRPr="00D468E5">
        <w:rPr>
          <w:rFonts w:eastAsia="Times New Roman" w:cs="Times New Roman"/>
          <w:color w:val="000000"/>
          <w:sz w:val="22"/>
          <w:lang w:val="en-US"/>
        </w:rPr>
        <w:t xml:space="preserve">. You can contact us </w:t>
      </w:r>
      <w:r w:rsidRPr="00D468E5">
        <w:rPr>
          <w:rFonts w:eastAsia="Times New Roman" w:cs="Times New Roman"/>
          <w:color w:val="000000"/>
          <w:sz w:val="22"/>
          <w:lang w:val="en-US"/>
        </w:rPr>
        <w:t xml:space="preserve">via phone, </w:t>
      </w:r>
      <w:r w:rsidR="00462187" w:rsidRPr="00D468E5">
        <w:rPr>
          <w:rFonts w:eastAsia="Times New Roman" w:cs="Times New Roman"/>
          <w:color w:val="000000"/>
          <w:sz w:val="22"/>
          <w:lang w:val="en-US"/>
        </w:rPr>
        <w:t xml:space="preserve">at the national </w:t>
      </w:r>
      <w:r w:rsidR="00D468E5" w:rsidRPr="00D468E5">
        <w:rPr>
          <w:rFonts w:eastAsia="Times New Roman" w:cs="Times New Roman"/>
          <w:color w:val="000000"/>
          <w:sz w:val="22"/>
          <w:lang w:val="en-US"/>
        </w:rPr>
        <w:t xml:space="preserve">cyber </w:t>
      </w:r>
      <w:r w:rsidR="00462187" w:rsidRPr="00D468E5">
        <w:rPr>
          <w:rFonts w:eastAsia="Times New Roman" w:cs="Times New Roman"/>
          <w:color w:val="000000"/>
          <w:sz w:val="22"/>
          <w:lang w:val="en-US"/>
        </w:rPr>
        <w:t xml:space="preserve">emergency number </w:t>
      </w:r>
      <w:r w:rsidR="00462187" w:rsidRPr="00D468E5">
        <w:rPr>
          <w:rFonts w:eastAsia="Times New Roman" w:cs="Times New Roman"/>
          <w:sz w:val="22"/>
          <w:lang w:val="en-US"/>
        </w:rPr>
        <w:t>1911</w:t>
      </w:r>
      <w:r w:rsidRPr="00D468E5">
        <w:rPr>
          <w:rFonts w:eastAsia="Times New Roman" w:cs="Times New Roman"/>
          <w:sz w:val="22"/>
          <w:lang w:val="en-US"/>
        </w:rPr>
        <w:t>,</w:t>
      </w:r>
      <w:r w:rsidR="00462187" w:rsidRPr="00D468E5">
        <w:rPr>
          <w:rFonts w:eastAsia="Times New Roman" w:cs="Times New Roman"/>
          <w:color w:val="000000"/>
          <w:sz w:val="22"/>
          <w:lang w:val="en-US"/>
        </w:rPr>
        <w:t xml:space="preserve"> or at </w:t>
      </w:r>
      <w:hyperlink r:id="rId11" w:history="1">
        <w:r w:rsidR="00462187" w:rsidRPr="00D468E5">
          <w:rPr>
            <w:rStyle w:val="Hyperlink"/>
            <w:rFonts w:eastAsia="Times New Roman" w:cs="Times New Roman"/>
            <w:sz w:val="22"/>
            <w:lang w:val="en-US"/>
          </w:rPr>
          <w:t>office@dnsc.ro</w:t>
        </w:r>
      </w:hyperlink>
      <w:r w:rsidR="00462187" w:rsidRPr="00D468E5">
        <w:rPr>
          <w:rFonts w:eastAsia="Times New Roman" w:cs="Times New Roman"/>
          <w:sz w:val="22"/>
          <w:lang w:val="en-US"/>
        </w:rPr>
        <w:t>.</w:t>
      </w:r>
      <w:r w:rsidR="00462187" w:rsidRPr="00D468E5">
        <w:rPr>
          <w:rFonts w:eastAsia="Times New Roman" w:cs="Times New Roman"/>
          <w:color w:val="000000"/>
          <w:sz w:val="22"/>
          <w:lang w:val="en-US"/>
        </w:rPr>
        <w:t xml:space="preserve"> </w:t>
      </w:r>
    </w:p>
    <w:p w14:paraId="2FD4E730" w14:textId="77777777" w:rsidR="00BA4232" w:rsidRPr="00D468E5" w:rsidRDefault="00BA4232">
      <w:pPr>
        <w:spacing w:line="240" w:lineRule="auto"/>
        <w:rPr>
          <w:rFonts w:eastAsia="Times New Roman" w:cs="Times New Roman"/>
          <w:color w:val="000000"/>
          <w:sz w:val="22"/>
          <w:lang w:val="en-US"/>
        </w:rPr>
      </w:pPr>
    </w:p>
    <w:p w14:paraId="1246313D" w14:textId="25AECFC6" w:rsidR="00BA4232" w:rsidRPr="00D468E5" w:rsidRDefault="00462187">
      <w:pPr>
        <w:spacing w:line="240" w:lineRule="auto"/>
        <w:rPr>
          <w:b/>
          <w:lang w:val="en-US"/>
        </w:rPr>
      </w:pPr>
      <w:r w:rsidRPr="00D468E5">
        <w:rPr>
          <w:rFonts w:eastAsia="Times New Roman" w:cs="Times New Roman"/>
          <w:b/>
          <w:color w:val="000000"/>
          <w:lang w:val="en-US"/>
        </w:rPr>
        <w:t xml:space="preserve">Press Contact: </w:t>
      </w:r>
      <w:r w:rsidR="001E7796" w:rsidRPr="00D468E5">
        <w:rPr>
          <w:rFonts w:eastAsia="Times New Roman" w:cs="Times New Roman"/>
          <w:b/>
          <w:color w:val="000000"/>
          <w:szCs w:val="24"/>
          <w:lang w:val="en-US"/>
        </w:rPr>
        <w:t xml:space="preserve">Mihai </w:t>
      </w:r>
      <w:proofErr w:type="gramStart"/>
      <w:r w:rsidR="001E7796" w:rsidRPr="00D468E5">
        <w:rPr>
          <w:rFonts w:eastAsia="Times New Roman" w:cs="Times New Roman"/>
          <w:b/>
          <w:color w:val="000000"/>
          <w:szCs w:val="24"/>
          <w:lang w:val="en-US"/>
        </w:rPr>
        <w:t>Rotariu  |</w:t>
      </w:r>
      <w:proofErr w:type="gramEnd"/>
      <w:r w:rsidR="001E7796" w:rsidRPr="00D468E5">
        <w:rPr>
          <w:rFonts w:eastAsia="Times New Roman" w:cs="Times New Roman"/>
          <w:b/>
          <w:color w:val="000000"/>
          <w:szCs w:val="24"/>
          <w:lang w:val="en-US"/>
        </w:rPr>
        <w:t xml:space="preserve">  </w:t>
      </w:r>
      <w:hyperlink r:id="rId12" w:history="1">
        <w:r w:rsidR="001E7796" w:rsidRPr="00D468E5">
          <w:rPr>
            <w:rStyle w:val="Hyperlink"/>
            <w:rFonts w:eastAsia="Times New Roman" w:cs="Times New Roman"/>
            <w:b/>
            <w:szCs w:val="24"/>
            <w:lang w:val="en-US"/>
          </w:rPr>
          <w:t>mihai.rotariu@dnsc.ro</w:t>
        </w:r>
      </w:hyperlink>
      <w:r w:rsidR="001E7796" w:rsidRPr="00D468E5">
        <w:rPr>
          <w:rFonts w:eastAsia="Times New Roman" w:cs="Times New Roman"/>
          <w:b/>
          <w:color w:val="000000"/>
          <w:szCs w:val="24"/>
          <w:lang w:val="en-US"/>
        </w:rPr>
        <w:t xml:space="preserve">  |  0740 066 866</w:t>
      </w:r>
    </w:p>
    <w:sectPr w:rsidR="00BA4232" w:rsidRPr="00D468E5">
      <w:headerReference w:type="default" r:id="rId13"/>
      <w:footerReference w:type="default" r:id="rId14"/>
      <w:headerReference w:type="first" r:id="rId15"/>
      <w:footerReference w:type="first" r:id="rId16"/>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E8E3" w14:textId="77777777" w:rsidR="00461CDB" w:rsidRDefault="00461CDB">
      <w:pPr>
        <w:spacing w:before="0" w:line="240" w:lineRule="auto"/>
      </w:pPr>
      <w:r>
        <w:separator/>
      </w:r>
    </w:p>
  </w:endnote>
  <w:endnote w:type="continuationSeparator" w:id="0">
    <w:p w14:paraId="013F5A3F" w14:textId="77777777" w:rsidR="00461CDB" w:rsidRDefault="00461CDB">
      <w:pPr>
        <w:spacing w:before="0" w:line="240" w:lineRule="auto"/>
      </w:pPr>
      <w:r>
        <w:continuationSeparator/>
      </w:r>
    </w:p>
  </w:endnote>
  <w:endnote w:type="continuationNotice" w:id="1">
    <w:p w14:paraId="1FA816BD" w14:textId="77777777" w:rsidR="00461CDB" w:rsidRDefault="00461C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BA4232" w:rsidRDefault="00BA4232">
    <w:pPr>
      <w:pStyle w:val="Footer"/>
      <w:tabs>
        <w:tab w:val="clear" w:pos="4680"/>
        <w:tab w:val="clear" w:pos="9360"/>
      </w:tabs>
      <w:spacing w:after="0"/>
      <w:jc w:val="right"/>
      <w:rPr>
        <w:b/>
        <w:color w:val="808080" w:themeColor="background1" w:themeShade="80"/>
        <w:sz w:val="16"/>
      </w:rPr>
    </w:pPr>
  </w:p>
  <w:p w14:paraId="1E3B8530" w14:textId="398916F8" w:rsidR="00BA4232" w:rsidRDefault="00462187">
    <w:pPr>
      <w:pStyle w:val="P68B1DB1-Footer5"/>
      <w:tabs>
        <w:tab w:val="clear" w:pos="4680"/>
        <w:tab w:val="clear" w:pos="9360"/>
      </w:tabs>
      <w:spacing w:after="0"/>
      <w:jc w:val="right"/>
    </w:pPr>
    <w:r>
      <w:t>UNCLASSIFIED</w:t>
    </w:r>
    <w:r>
      <w:tab/>
    </w:r>
    <w:r>
      <w:tab/>
    </w:r>
    <w:r>
      <w:tab/>
    </w:r>
    <w:r>
      <w:tab/>
    </w:r>
    <w:r>
      <w:tab/>
    </w:r>
    <w:r>
      <w:tab/>
    </w:r>
    <w:r>
      <w:tab/>
    </w:r>
    <w:r>
      <w:tab/>
    </w:r>
    <w:r>
      <w:tab/>
    </w:r>
    <w:r>
      <w:tab/>
    </w:r>
    <w:r>
      <w:tab/>
    </w:r>
    <w:r>
      <w:tab/>
      <w:t xml:space="preserve">Page </w:t>
    </w:r>
    <w:r>
      <w:fldChar w:fldCharType="begin"/>
    </w:r>
    <w:r>
      <w:instrText xml:space="preserve"> PAGE  \* Arabic  \* MERGEFORMAT </w:instrText>
    </w:r>
    <w:r>
      <w:fldChar w:fldCharType="separate"/>
    </w:r>
    <w:r>
      <w:t>2</w:t>
    </w:r>
    <w:r>
      <w:fldChar w:fldCharType="end"/>
    </w:r>
    <w:r>
      <w:t xml:space="preserve"> / </w:t>
    </w:r>
    <w:r w:rsidR="00461CDB">
      <w:fldChar w:fldCharType="begin"/>
    </w:r>
    <w:r w:rsidR="00461CDB">
      <w:instrText xml:space="preserve"> NUMPAGES  \* Arabic  \* MERGEFORMAT </w:instrText>
    </w:r>
    <w:r w:rsidR="00461CDB">
      <w:fldChar w:fldCharType="separate"/>
    </w:r>
    <w:r>
      <w:t>2</w:t>
    </w:r>
    <w:r w:rsidR="00461CDB">
      <w:fldChar w:fldCharType="end"/>
    </w:r>
  </w:p>
  <w:p w14:paraId="528C515F" w14:textId="77777777" w:rsidR="00BA4232" w:rsidRDefault="00BA4232">
    <w:pPr>
      <w:pStyle w:val="Footer"/>
      <w:tabs>
        <w:tab w:val="clear" w:pos="4680"/>
        <w:tab w:val="clear" w:pos="9360"/>
      </w:tabs>
      <w:spacing w:after="0"/>
      <w:jc w:val="right"/>
      <w:rPr>
        <w:b/>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BA4232" w:rsidRDefault="00462187">
    <w:pPr>
      <w:pStyle w:val="P68B1DB1-Footer5"/>
      <w:pBdr>
        <w:top w:val="single" w:sz="4" w:space="1" w:color="A6A6A6" w:themeColor="background1" w:themeShade="A6"/>
      </w:pBdr>
      <w:tabs>
        <w:tab w:val="clear" w:pos="4680"/>
        <w:tab w:val="clear" w:pos="9360"/>
      </w:tabs>
      <w:spacing w:after="0"/>
    </w:pPr>
    <w:r>
      <w:t>Str. Italian 22, Floor 6, Sector 2, 020976 Bucharest, Romania</w:t>
    </w:r>
    <w:r>
      <w:tab/>
    </w:r>
    <w:r>
      <w:tab/>
    </w:r>
    <w:r>
      <w:tab/>
    </w:r>
    <w:r>
      <w:tab/>
    </w:r>
    <w:r>
      <w:tab/>
    </w:r>
    <w:r>
      <w:tab/>
    </w:r>
    <w:r>
      <w:tab/>
      <w:t xml:space="preserve">Page </w:t>
    </w:r>
    <w:r>
      <w:fldChar w:fldCharType="begin"/>
    </w:r>
    <w:r>
      <w:instrText xml:space="preserve"> PAGE  \* Arabic  \* MERGEFORMAT </w:instrText>
    </w:r>
    <w:r>
      <w:fldChar w:fldCharType="separate"/>
    </w:r>
    <w:r>
      <w:t>1</w:t>
    </w:r>
    <w:r>
      <w:fldChar w:fldCharType="end"/>
    </w:r>
    <w:r>
      <w:t xml:space="preserve"> / </w:t>
    </w:r>
    <w:r w:rsidR="00461CDB">
      <w:fldChar w:fldCharType="begin"/>
    </w:r>
    <w:r w:rsidR="00461CDB">
      <w:instrText xml:space="preserve"> NUMPAGES  \* Arabic  \* MERGEFORMAT </w:instrText>
    </w:r>
    <w:r w:rsidR="00461CDB">
      <w:fldChar w:fldCharType="separate"/>
    </w:r>
    <w:r>
      <w:t>2</w:t>
    </w:r>
    <w:r w:rsidR="00461CDB">
      <w:fldChar w:fldCharType="end"/>
    </w:r>
  </w:p>
  <w:p w14:paraId="353ACE4D" w14:textId="3C45ADB1" w:rsidR="00BA4232" w:rsidRDefault="00462187">
    <w:pPr>
      <w:pStyle w:val="P68B1DB1-Footer5"/>
      <w:tabs>
        <w:tab w:val="clear" w:pos="4680"/>
        <w:tab w:val="clear" w:pos="9360"/>
      </w:tabs>
      <w:spacing w:after="0"/>
    </w:pPr>
    <w:r>
      <w:t xml:space="preserve">E-mail: office@dnsc.ro www.dnsc.ro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5F41" w14:textId="77777777" w:rsidR="00461CDB" w:rsidRDefault="00461CDB">
      <w:pPr>
        <w:spacing w:before="0" w:line="240" w:lineRule="auto"/>
      </w:pPr>
      <w:r>
        <w:separator/>
      </w:r>
    </w:p>
  </w:footnote>
  <w:footnote w:type="continuationSeparator" w:id="0">
    <w:p w14:paraId="3FF69314" w14:textId="77777777" w:rsidR="00461CDB" w:rsidRDefault="00461CDB">
      <w:pPr>
        <w:spacing w:before="0" w:line="240" w:lineRule="auto"/>
      </w:pPr>
      <w:r>
        <w:continuationSeparator/>
      </w:r>
    </w:p>
  </w:footnote>
  <w:footnote w:type="continuationNotice" w:id="1">
    <w:p w14:paraId="37C7B8E6" w14:textId="77777777" w:rsidR="00461CDB" w:rsidRDefault="00461C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BA4232" w:rsidRDefault="00BA4232">
    <w:pPr>
      <w:pStyle w:val="Header"/>
      <w:spacing w:before="120" w:line="240" w:lineRule="exact"/>
    </w:pPr>
  </w:p>
  <w:p w14:paraId="29669344" w14:textId="6D0C452F" w:rsidR="00BA4232" w:rsidRDefault="00BA4232">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BA4232" w:rsidRDefault="00462187">
    <w:pPr>
      <w:pStyle w:val="Header"/>
      <w:tabs>
        <w:tab w:val="clear" w:pos="4680"/>
        <w:tab w:val="clear" w:pos="9360"/>
      </w:tabs>
      <w:jc w:val="center"/>
      <w:rPr>
        <w:sz w:val="18"/>
      </w:rPr>
    </w:pPr>
    <w:r>
      <w:rPr>
        <w:noProof/>
      </w:rPr>
      <w:drawing>
        <wp:inline distT="0" distB="0" distL="0" distR="0" wp14:anchorId="303634AB" wp14:editId="10ED147C">
          <wp:extent cx="3132161" cy="1065097"/>
          <wp:effectExtent l="0" t="0" r="0" b="1905"/>
          <wp:docPr id="3" name="Picture 3"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D72FE8"/>
    <w:multiLevelType w:val="hybridMultilevel"/>
    <w:tmpl w:val="EEEE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4195"/>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3EBC"/>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B7723"/>
    <w:rsid w:val="000C13C0"/>
    <w:rsid w:val="000C434A"/>
    <w:rsid w:val="000C5778"/>
    <w:rsid w:val="000D4576"/>
    <w:rsid w:val="000D6E3E"/>
    <w:rsid w:val="000E0C76"/>
    <w:rsid w:val="000E3AC5"/>
    <w:rsid w:val="000E4F06"/>
    <w:rsid w:val="000F06BF"/>
    <w:rsid w:val="000F0DEA"/>
    <w:rsid w:val="000F20A8"/>
    <w:rsid w:val="000F2D1E"/>
    <w:rsid w:val="000F3920"/>
    <w:rsid w:val="000F4CE3"/>
    <w:rsid w:val="000F5337"/>
    <w:rsid w:val="000F6602"/>
    <w:rsid w:val="000F6868"/>
    <w:rsid w:val="00105559"/>
    <w:rsid w:val="00106F89"/>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A72FE"/>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E7796"/>
    <w:rsid w:val="001F0C41"/>
    <w:rsid w:val="001F2FE0"/>
    <w:rsid w:val="001F6A05"/>
    <w:rsid w:val="00201D2A"/>
    <w:rsid w:val="00203201"/>
    <w:rsid w:val="002041CA"/>
    <w:rsid w:val="00205859"/>
    <w:rsid w:val="00206D25"/>
    <w:rsid w:val="0021038C"/>
    <w:rsid w:val="0021097A"/>
    <w:rsid w:val="002136DF"/>
    <w:rsid w:val="002145AB"/>
    <w:rsid w:val="002210E9"/>
    <w:rsid w:val="00225D7F"/>
    <w:rsid w:val="00231997"/>
    <w:rsid w:val="00235C2A"/>
    <w:rsid w:val="00235C67"/>
    <w:rsid w:val="00240D1A"/>
    <w:rsid w:val="00241F4B"/>
    <w:rsid w:val="00245C97"/>
    <w:rsid w:val="00251BF4"/>
    <w:rsid w:val="0025265C"/>
    <w:rsid w:val="00254B46"/>
    <w:rsid w:val="00256A20"/>
    <w:rsid w:val="00260AE1"/>
    <w:rsid w:val="00264F80"/>
    <w:rsid w:val="00270108"/>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2DC4"/>
    <w:rsid w:val="00387F9C"/>
    <w:rsid w:val="003936CD"/>
    <w:rsid w:val="003A1771"/>
    <w:rsid w:val="003B107B"/>
    <w:rsid w:val="003B22CF"/>
    <w:rsid w:val="003B2566"/>
    <w:rsid w:val="003B30C3"/>
    <w:rsid w:val="003C3172"/>
    <w:rsid w:val="003C7C31"/>
    <w:rsid w:val="003D0A43"/>
    <w:rsid w:val="003D1B75"/>
    <w:rsid w:val="003D1EA0"/>
    <w:rsid w:val="003D488D"/>
    <w:rsid w:val="003E4037"/>
    <w:rsid w:val="003E55D5"/>
    <w:rsid w:val="003E70CB"/>
    <w:rsid w:val="003E7A22"/>
    <w:rsid w:val="003F01AC"/>
    <w:rsid w:val="003F2CA2"/>
    <w:rsid w:val="003F4E5F"/>
    <w:rsid w:val="004035AA"/>
    <w:rsid w:val="004050C4"/>
    <w:rsid w:val="00405B29"/>
    <w:rsid w:val="004119A0"/>
    <w:rsid w:val="0041595D"/>
    <w:rsid w:val="0041709F"/>
    <w:rsid w:val="00420F39"/>
    <w:rsid w:val="0042122E"/>
    <w:rsid w:val="00423391"/>
    <w:rsid w:val="0042639A"/>
    <w:rsid w:val="00430FDF"/>
    <w:rsid w:val="00433CC6"/>
    <w:rsid w:val="004353D5"/>
    <w:rsid w:val="00440B98"/>
    <w:rsid w:val="004526DC"/>
    <w:rsid w:val="004546C9"/>
    <w:rsid w:val="00454D2B"/>
    <w:rsid w:val="00456599"/>
    <w:rsid w:val="00457F9C"/>
    <w:rsid w:val="00461B52"/>
    <w:rsid w:val="00461CDB"/>
    <w:rsid w:val="00462187"/>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2A45"/>
    <w:rsid w:val="00502B7A"/>
    <w:rsid w:val="0050506A"/>
    <w:rsid w:val="00506485"/>
    <w:rsid w:val="00512057"/>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5B4B"/>
    <w:rsid w:val="00556873"/>
    <w:rsid w:val="00557197"/>
    <w:rsid w:val="00562E78"/>
    <w:rsid w:val="00563F73"/>
    <w:rsid w:val="005667E0"/>
    <w:rsid w:val="00566B59"/>
    <w:rsid w:val="00570FAF"/>
    <w:rsid w:val="00582FE2"/>
    <w:rsid w:val="00583579"/>
    <w:rsid w:val="00586A84"/>
    <w:rsid w:val="00587B17"/>
    <w:rsid w:val="00592F48"/>
    <w:rsid w:val="00594A63"/>
    <w:rsid w:val="005962F3"/>
    <w:rsid w:val="00596E75"/>
    <w:rsid w:val="00597D41"/>
    <w:rsid w:val="005A39C1"/>
    <w:rsid w:val="005A7DBD"/>
    <w:rsid w:val="005B014A"/>
    <w:rsid w:val="005B2279"/>
    <w:rsid w:val="005B2946"/>
    <w:rsid w:val="005B427E"/>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3082"/>
    <w:rsid w:val="006A6B7F"/>
    <w:rsid w:val="006B6298"/>
    <w:rsid w:val="006C144B"/>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2AA"/>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0441"/>
    <w:rsid w:val="008750AF"/>
    <w:rsid w:val="00884D19"/>
    <w:rsid w:val="00885644"/>
    <w:rsid w:val="00885B29"/>
    <w:rsid w:val="00886184"/>
    <w:rsid w:val="00887E1A"/>
    <w:rsid w:val="008906F2"/>
    <w:rsid w:val="008912E1"/>
    <w:rsid w:val="008921BE"/>
    <w:rsid w:val="00893CCF"/>
    <w:rsid w:val="00896BFC"/>
    <w:rsid w:val="008A0AD8"/>
    <w:rsid w:val="008A2069"/>
    <w:rsid w:val="008A2238"/>
    <w:rsid w:val="008A7281"/>
    <w:rsid w:val="008B01FF"/>
    <w:rsid w:val="008B1A2F"/>
    <w:rsid w:val="008B213F"/>
    <w:rsid w:val="008B291F"/>
    <w:rsid w:val="008B5747"/>
    <w:rsid w:val="008C0490"/>
    <w:rsid w:val="008C105E"/>
    <w:rsid w:val="008D2D35"/>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92B57"/>
    <w:rsid w:val="009943FF"/>
    <w:rsid w:val="00995DDE"/>
    <w:rsid w:val="009970FA"/>
    <w:rsid w:val="009971CD"/>
    <w:rsid w:val="009A3638"/>
    <w:rsid w:val="009A45A3"/>
    <w:rsid w:val="009A4FCF"/>
    <w:rsid w:val="009A6BEC"/>
    <w:rsid w:val="009B3043"/>
    <w:rsid w:val="009B6502"/>
    <w:rsid w:val="009C0469"/>
    <w:rsid w:val="009C0CB7"/>
    <w:rsid w:val="009C0ECB"/>
    <w:rsid w:val="009D2434"/>
    <w:rsid w:val="009E155B"/>
    <w:rsid w:val="009E3FAB"/>
    <w:rsid w:val="009E41BE"/>
    <w:rsid w:val="009E479A"/>
    <w:rsid w:val="009E4D74"/>
    <w:rsid w:val="009E6271"/>
    <w:rsid w:val="009F1E94"/>
    <w:rsid w:val="009F66D7"/>
    <w:rsid w:val="009F7595"/>
    <w:rsid w:val="00A007FA"/>
    <w:rsid w:val="00A01681"/>
    <w:rsid w:val="00A03DB5"/>
    <w:rsid w:val="00A03DEA"/>
    <w:rsid w:val="00A111AC"/>
    <w:rsid w:val="00A1400F"/>
    <w:rsid w:val="00A17334"/>
    <w:rsid w:val="00A267E2"/>
    <w:rsid w:val="00A32474"/>
    <w:rsid w:val="00A33EBE"/>
    <w:rsid w:val="00A34A08"/>
    <w:rsid w:val="00A3734E"/>
    <w:rsid w:val="00A40B57"/>
    <w:rsid w:val="00A41412"/>
    <w:rsid w:val="00A41428"/>
    <w:rsid w:val="00A465FE"/>
    <w:rsid w:val="00A5011E"/>
    <w:rsid w:val="00A57F4E"/>
    <w:rsid w:val="00A61248"/>
    <w:rsid w:val="00A61805"/>
    <w:rsid w:val="00A62618"/>
    <w:rsid w:val="00A62746"/>
    <w:rsid w:val="00A645D2"/>
    <w:rsid w:val="00A65FD1"/>
    <w:rsid w:val="00A73001"/>
    <w:rsid w:val="00A740AE"/>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47F9"/>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1E9F"/>
    <w:rsid w:val="00B24A0A"/>
    <w:rsid w:val="00B33188"/>
    <w:rsid w:val="00B34112"/>
    <w:rsid w:val="00B37347"/>
    <w:rsid w:val="00B411AC"/>
    <w:rsid w:val="00B43A34"/>
    <w:rsid w:val="00B469CD"/>
    <w:rsid w:val="00B51600"/>
    <w:rsid w:val="00B51BC9"/>
    <w:rsid w:val="00B5545B"/>
    <w:rsid w:val="00B57637"/>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4232"/>
    <w:rsid w:val="00BA7CFB"/>
    <w:rsid w:val="00BB7D89"/>
    <w:rsid w:val="00BC1FBA"/>
    <w:rsid w:val="00BC30D7"/>
    <w:rsid w:val="00BC58C7"/>
    <w:rsid w:val="00BD0DDF"/>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1B1"/>
    <w:rsid w:val="00C4682D"/>
    <w:rsid w:val="00C47792"/>
    <w:rsid w:val="00C54901"/>
    <w:rsid w:val="00C57DCC"/>
    <w:rsid w:val="00C64585"/>
    <w:rsid w:val="00C646EA"/>
    <w:rsid w:val="00C67ED0"/>
    <w:rsid w:val="00C72723"/>
    <w:rsid w:val="00C75BDA"/>
    <w:rsid w:val="00C82003"/>
    <w:rsid w:val="00CA047F"/>
    <w:rsid w:val="00CB0A02"/>
    <w:rsid w:val="00CB270B"/>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20A5D"/>
    <w:rsid w:val="00D30E93"/>
    <w:rsid w:val="00D31013"/>
    <w:rsid w:val="00D457E0"/>
    <w:rsid w:val="00D468E5"/>
    <w:rsid w:val="00D60DF4"/>
    <w:rsid w:val="00D6259F"/>
    <w:rsid w:val="00D64060"/>
    <w:rsid w:val="00D64F8C"/>
    <w:rsid w:val="00D663EB"/>
    <w:rsid w:val="00D72811"/>
    <w:rsid w:val="00D737C4"/>
    <w:rsid w:val="00D74379"/>
    <w:rsid w:val="00D750A2"/>
    <w:rsid w:val="00D950AE"/>
    <w:rsid w:val="00DA067A"/>
    <w:rsid w:val="00DA6713"/>
    <w:rsid w:val="00DA6BFE"/>
    <w:rsid w:val="00DB6E0C"/>
    <w:rsid w:val="00DC2A8A"/>
    <w:rsid w:val="00DC7ED1"/>
    <w:rsid w:val="00DD0398"/>
    <w:rsid w:val="00DD1D51"/>
    <w:rsid w:val="00DD1F42"/>
    <w:rsid w:val="00DD29BD"/>
    <w:rsid w:val="00DD45FE"/>
    <w:rsid w:val="00DD58AE"/>
    <w:rsid w:val="00DD665D"/>
    <w:rsid w:val="00DF320E"/>
    <w:rsid w:val="00E0237A"/>
    <w:rsid w:val="00E05556"/>
    <w:rsid w:val="00E0667A"/>
    <w:rsid w:val="00E222B9"/>
    <w:rsid w:val="00E2328F"/>
    <w:rsid w:val="00E243CD"/>
    <w:rsid w:val="00E312F5"/>
    <w:rsid w:val="00E34642"/>
    <w:rsid w:val="00E34731"/>
    <w:rsid w:val="00E53F23"/>
    <w:rsid w:val="00E63604"/>
    <w:rsid w:val="00E65127"/>
    <w:rsid w:val="00E67CBF"/>
    <w:rsid w:val="00E724FF"/>
    <w:rsid w:val="00E73FE2"/>
    <w:rsid w:val="00E74E71"/>
    <w:rsid w:val="00E76DA5"/>
    <w:rsid w:val="00E80013"/>
    <w:rsid w:val="00E8111C"/>
    <w:rsid w:val="00E8194E"/>
    <w:rsid w:val="00E82373"/>
    <w:rsid w:val="00E85AEE"/>
    <w:rsid w:val="00E87B78"/>
    <w:rsid w:val="00EA1D23"/>
    <w:rsid w:val="00EA3D21"/>
    <w:rsid w:val="00EB157C"/>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176F"/>
    <w:rsid w:val="00F5547B"/>
    <w:rsid w:val="00F57493"/>
    <w:rsid w:val="00F57DF9"/>
    <w:rsid w:val="00F61F81"/>
    <w:rsid w:val="00F72616"/>
    <w:rsid w:val="00F7723A"/>
    <w:rsid w:val="00F8117A"/>
    <w:rsid w:val="00F84710"/>
    <w:rsid w:val="00F86028"/>
    <w:rsid w:val="00F93306"/>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color w:val="004990" w:themeColor="text2"/>
      <w:sz w:val="28"/>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i/>
      <w:color w:val="005990" w:themeColor="accent1" w:themeShade="BF"/>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color w:val="004990" w:themeColor="text2"/>
      <w:sz w:val="28"/>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i/>
      <w:color w:val="005990" w:themeColor="accent1" w:themeShade="BF"/>
      <w:sz w:val="24"/>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color w:val="003B60" w:themeColor="accent1" w:themeShade="7F"/>
      <w:sz w:val="24"/>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color w:val="272727" w:themeColor="text1" w:themeTint="D8"/>
      <w:sz w:val="21"/>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qFormat/>
    <w:rsid w:val="00FD5FA0"/>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rPr>
  </w:style>
  <w:style w:type="character" w:styleId="Strong">
    <w:name w:val="Strong"/>
    <w:basedOn w:val="DefaultParagraphFont"/>
    <w:uiPriority w:val="22"/>
    <w:qFormat/>
    <w:rsid w:val="00C302C0"/>
    <w:rPr>
      <w:b/>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customStyle="1" w:styleId="P68B1DB1-Normal1">
    <w:name w:val="P68B1DB1-Normal1"/>
    <w:basedOn w:val="Normal"/>
    <w:rPr>
      <w:rFonts w:eastAsia="Times New Roman" w:cs="Times New Roman"/>
      <w:b/>
      <w:color w:val="000000"/>
      <w:sz w:val="32"/>
    </w:rPr>
  </w:style>
  <w:style w:type="paragraph" w:customStyle="1" w:styleId="P68B1DB1-Normal2">
    <w:name w:val="P68B1DB1-Normal2"/>
    <w:basedOn w:val="Normal"/>
    <w:rPr>
      <w:rFonts w:eastAsia="Times New Roman" w:cs="Times New Roman"/>
      <w:b/>
      <w:color w:val="000000"/>
      <w:sz w:val="22"/>
    </w:rPr>
  </w:style>
  <w:style w:type="paragraph" w:customStyle="1" w:styleId="P68B1DB1-Normal3">
    <w:name w:val="P68B1DB1-Normal3"/>
    <w:basedOn w:val="Normal"/>
    <w:rPr>
      <w:rFonts w:eastAsia="Times New Roman" w:cs="Times New Roman"/>
      <w:color w:val="000000"/>
      <w:sz w:val="22"/>
    </w:rPr>
  </w:style>
  <w:style w:type="paragraph" w:customStyle="1" w:styleId="P68B1DB1-ListParagraph4">
    <w:name w:val="P68B1DB1-ListParagraph4"/>
    <w:basedOn w:val="ListParagraph"/>
    <w:rPr>
      <w:rFonts w:eastAsia="Times New Roman" w:cs="Times New Roman"/>
      <w:color w:val="000000"/>
      <w:sz w:val="22"/>
    </w:rPr>
  </w:style>
  <w:style w:type="paragraph" w:customStyle="1" w:styleId="P68B1DB1-Footer5">
    <w:name w:val="P68B1DB1-Footer5"/>
    <w:basedOn w:val="Footer"/>
    <w:rPr>
      <w:b/>
      <w:color w:val="808080" w:themeColor="background1" w:themeShade="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hai.rotariu@dnsc.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dnsc.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18682b-0025-4709-8c18-af330e77ca7c">
      <Terms xmlns="http://schemas.microsoft.com/office/infopath/2007/PartnerControls"/>
    </lcf76f155ced4ddcb4097134ff3c332f>
    <TaxCatchAll xmlns="c8f44f8d-177e-4471-a3ef-5a4dbfc91a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7C40-FD4F-4BB7-89F8-403FCB4B4890}">
  <ds:schemaRefs>
    <ds:schemaRef ds:uri="http://schemas.microsoft.com/sharepoint/v3/contenttype/forms"/>
  </ds:schemaRefs>
</ds:datastoreItem>
</file>

<file path=customXml/itemProps2.xml><?xml version="1.0" encoding="utf-8"?>
<ds:datastoreItem xmlns:ds="http://schemas.openxmlformats.org/officeDocument/2006/customXml" ds:itemID="{DA9B09DD-0EEE-47C3-A970-61864AF38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AFEF8C-A391-4324-BD7F-F4ADF7B4EC70}">
  <ds:schemaRefs>
    <ds:schemaRef ds:uri="http://schemas.microsoft.com/office/2006/metadata/properties"/>
    <ds:schemaRef ds:uri="http://schemas.microsoft.com/office/infopath/2007/PartnerControls"/>
    <ds:schemaRef ds:uri="0218682b-0025-4709-8c18-af330e77ca7c"/>
    <ds:schemaRef ds:uri="c8f44f8d-177e-4471-a3ef-5a4dbfc91a31"/>
  </ds:schemaRefs>
</ds:datastoreItem>
</file>

<file path=customXml/itemProps4.xml><?xml version="1.0" encoding="utf-8"?>
<ds:datastoreItem xmlns:ds="http://schemas.openxmlformats.org/officeDocument/2006/customXml" ds:itemID="{53CD165A-6F0E-4138-92C0-354F788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 - Press Release</vt:lpstr>
      <vt:lpstr/>
    </vt:vector>
  </TitlesOfParts>
  <Manager>mihai.rotariu@dnsc.ro</Manager>
  <Company>DNSC</Company>
  <LinksUpToDate>false</LinksUpToDate>
  <CharactersWithSpaces>3330</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 - Press Release</dc:title>
  <dc:subject>DNSC</dc:subject>
  <dc:creator>Dan Cimpean</dc:creator>
  <cp:keywords>DNSC Comunicat de Presa - Press Release</cp:keywords>
  <dc:description>DNSC Comunicat de Presa - Press Release TLP=CLEAR</dc:description>
  <cp:lastModifiedBy>Mihai Rotariu</cp:lastModifiedBy>
  <cp:revision>8</cp:revision>
  <cp:lastPrinted>2022-12-14T18:40:00Z</cp:lastPrinted>
  <dcterms:created xsi:type="dcterms:W3CDTF">2022-12-14T18:07:00Z</dcterms:created>
  <dcterms:modified xsi:type="dcterms:W3CDTF">2022-12-15T06:54:00Z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